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b/>
          <w:bCs/>
          <w:sz w:val="30"/>
          <w:szCs w:val="30"/>
          <w:highlight w:val="none"/>
        </w:rPr>
      </w:pPr>
      <w:r>
        <w:rPr>
          <w:rFonts w:hint="eastAsia"/>
          <w:b/>
          <w:bCs/>
          <w:sz w:val="30"/>
          <w:szCs w:val="30"/>
          <w:highlight w:val="none"/>
        </w:rPr>
        <w:t>济南大学</w:t>
      </w:r>
      <w:r>
        <w:rPr>
          <w:rFonts w:hint="eastAsia"/>
          <w:b/>
          <w:bCs/>
          <w:sz w:val="30"/>
          <w:szCs w:val="30"/>
          <w:highlight w:val="none"/>
          <w:lang w:eastAsia="zh-CN"/>
        </w:rPr>
        <w:t>教育与心理科学学院</w:t>
      </w:r>
      <w:r>
        <w:rPr>
          <w:rFonts w:hint="eastAsia"/>
          <w:b/>
          <w:bCs/>
          <w:sz w:val="30"/>
          <w:szCs w:val="30"/>
          <w:highlight w:val="none"/>
        </w:rPr>
        <w:t>2016-2017学年第一学期硕士研究生</w:t>
      </w:r>
      <w:r>
        <w:rPr>
          <w:rFonts w:hint="eastAsia"/>
          <w:b/>
          <w:bCs/>
          <w:sz w:val="30"/>
          <w:szCs w:val="30"/>
          <w:highlight w:val="none"/>
          <w:lang w:eastAsia="zh-CN"/>
        </w:rPr>
        <w:t>课</w:t>
      </w:r>
      <w:r>
        <w:rPr>
          <w:rFonts w:hint="eastAsia"/>
          <w:b/>
          <w:bCs/>
          <w:sz w:val="30"/>
          <w:szCs w:val="30"/>
          <w:highlight w:val="none"/>
        </w:rPr>
        <w:t>程表</w:t>
      </w:r>
    </w:p>
    <w:p>
      <w:pPr>
        <w:ind w:left="210" w:leftChars="100"/>
        <w:jc w:val="center"/>
        <w:rPr>
          <w:b/>
          <w:bCs/>
          <w:sz w:val="30"/>
          <w:szCs w:val="30"/>
          <w:highlight w:val="none"/>
        </w:rPr>
      </w:pPr>
      <w:r>
        <w:rPr>
          <w:rFonts w:hint="eastAsia"/>
          <w:b/>
          <w:bCs/>
          <w:sz w:val="30"/>
          <w:szCs w:val="30"/>
          <w:highlight w:val="none"/>
        </w:rPr>
        <w:t>发展与教育心理学</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408"/>
        <w:gridCol w:w="2551"/>
        <w:gridCol w:w="2621"/>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2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40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551"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621"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9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408" w:type="dxa"/>
            <w:vMerge w:val="restart"/>
            <w:shd w:val="clear" w:color="auto" w:fill="auto"/>
            <w:vAlign w:val="center"/>
          </w:tcPr>
          <w:p>
            <w:pPr>
              <w:jc w:val="center"/>
              <w:rPr>
                <w:sz w:val="18"/>
                <w:szCs w:val="18"/>
              </w:rPr>
            </w:pPr>
            <w:r>
              <w:rPr>
                <w:rFonts w:hint="eastAsia"/>
                <w:sz w:val="18"/>
                <w:szCs w:val="18"/>
              </w:rPr>
              <w:t>学习论</w:t>
            </w:r>
          </w:p>
          <w:p>
            <w:pPr>
              <w:jc w:val="center"/>
              <w:rPr>
                <w:sz w:val="18"/>
                <w:szCs w:val="18"/>
              </w:rPr>
            </w:pPr>
            <w:r>
              <w:rPr>
                <w:rFonts w:hint="eastAsia"/>
                <w:sz w:val="18"/>
                <w:szCs w:val="18"/>
              </w:rPr>
              <w:t>林丰勋（1-3节）（3-18周）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tc>
        <w:tc>
          <w:tcPr>
            <w:tcW w:w="2551" w:type="dxa"/>
            <w:vMerge w:val="restart"/>
            <w:shd w:val="clear" w:color="auto" w:fill="auto"/>
            <w:vAlign w:val="center"/>
          </w:tcPr>
          <w:p>
            <w:pPr>
              <w:jc w:val="center"/>
              <w:rPr>
                <w:sz w:val="18"/>
                <w:szCs w:val="18"/>
              </w:rPr>
            </w:pPr>
            <w:r>
              <w:rPr>
                <w:rFonts w:hint="eastAsia"/>
                <w:sz w:val="18"/>
                <w:szCs w:val="18"/>
              </w:rPr>
              <w:t>心理学研究方法</w:t>
            </w:r>
          </w:p>
          <w:p>
            <w:pPr>
              <w:jc w:val="center"/>
              <w:rPr>
                <w:sz w:val="18"/>
                <w:szCs w:val="18"/>
              </w:rPr>
            </w:pPr>
            <w:r>
              <w:rPr>
                <w:rFonts w:hint="eastAsia"/>
                <w:sz w:val="18"/>
                <w:szCs w:val="18"/>
              </w:rPr>
              <w:t>林丰勋（1-3节）（3-18周）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tc>
        <w:tc>
          <w:tcPr>
            <w:tcW w:w="2621" w:type="dxa"/>
            <w:vMerge w:val="restart"/>
            <w:shd w:val="clear" w:color="auto" w:fill="auto"/>
            <w:vAlign w:val="center"/>
          </w:tcPr>
          <w:p>
            <w:pPr>
              <w:rPr>
                <w:rFonts w:hint="eastAsia" w:asciiTheme="majorEastAsia" w:hAnsiTheme="majorEastAsia" w:eastAsiaTheme="majorEastAsia" w:cstheme="majorEastAsia"/>
                <w:sz w:val="18"/>
                <w:szCs w:val="18"/>
              </w:rPr>
            </w:pPr>
          </w:p>
          <w:p>
            <w:pPr>
              <w:rPr>
                <w:rFonts w:hint="eastAsia" w:asciiTheme="majorEastAsia" w:hAnsiTheme="majorEastAsia" w:eastAsiaTheme="majorEastAsia" w:cstheme="majorEastAsia"/>
                <w:sz w:val="18"/>
                <w:szCs w:val="18"/>
              </w:rPr>
            </w:pPr>
          </w:p>
          <w:p>
            <w:pPr>
              <w:rPr>
                <w:rFonts w:hint="eastAsia" w:asciiTheme="majorEastAsia" w:hAnsiTheme="majorEastAsia" w:eastAsiaTheme="majorEastAsia" w:cstheme="majorEastAsia"/>
                <w:sz w:val="18"/>
                <w:szCs w:val="18"/>
              </w:rPr>
            </w:pPr>
          </w:p>
          <w:p>
            <w:pPr>
              <w:rPr>
                <w:rFonts w:hint="eastAsia" w:asciiTheme="majorEastAsia" w:hAnsiTheme="majorEastAsia" w:eastAsiaTheme="majorEastAsia" w:cstheme="majorEastAsia"/>
                <w:sz w:val="18"/>
                <w:szCs w:val="18"/>
              </w:rPr>
            </w:pP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基础英语（二班）（3-4节）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10J-401都文娟 3-18周</w:t>
            </w:r>
          </w:p>
          <w:p>
            <w:pPr>
              <w:jc w:val="center"/>
              <w:rPr>
                <w:rFonts w:asciiTheme="majorEastAsia" w:hAnsiTheme="majorEastAsia" w:eastAsiaTheme="majorEastAsia" w:cstheme="majorEastAsia"/>
                <w:spacing w:val="-20"/>
                <w:sz w:val="18"/>
                <w:szCs w:val="18"/>
              </w:rPr>
            </w:pPr>
          </w:p>
        </w:tc>
        <w:tc>
          <w:tcPr>
            <w:tcW w:w="2902"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马克思主义与社会科学方法论</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贺方彬（一班） （1-3节）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（7-12周）10J-401</w:t>
            </w:r>
          </w:p>
          <w:p>
            <w:pPr>
              <w:jc w:val="center"/>
              <w:rPr>
                <w:rFonts w:asciiTheme="majorEastAsia" w:hAnsiTheme="majorEastAsia" w:eastAsiaTheme="majorEastAsia" w:cstheme="majorEastAsia"/>
                <w:color w:val="FF0000"/>
                <w:sz w:val="18"/>
                <w:szCs w:val="18"/>
              </w:rPr>
            </w:pPr>
          </w:p>
        </w:tc>
        <w:tc>
          <w:tcPr>
            <w:tcW w:w="2767" w:type="dxa"/>
            <w:vMerge w:val="restart"/>
            <w:shd w:val="clear" w:color="auto" w:fill="auto"/>
            <w:vAlign w:val="center"/>
          </w:tcPr>
          <w:p>
            <w:pPr>
              <w:jc w:val="center"/>
              <w:rPr>
                <w:rFonts w:hint="eastAsia" w:asciiTheme="majorEastAsia" w:hAnsiTheme="majorEastAsia" w:eastAsiaTheme="majorEastAsia" w:cstheme="majorEastAsia"/>
                <w:sz w:val="18"/>
                <w:szCs w:val="18"/>
              </w:rPr>
            </w:pPr>
          </w:p>
          <w:p>
            <w:pPr>
              <w:jc w:val="center"/>
              <w:rPr>
                <w:rFonts w:hint="eastAsia" w:asciiTheme="majorEastAsia" w:hAnsiTheme="majorEastAsia" w:eastAsiaTheme="majorEastAsia" w:cstheme="majorEastAsia"/>
                <w:sz w:val="18"/>
                <w:szCs w:val="18"/>
              </w:rPr>
            </w:pPr>
          </w:p>
          <w:p>
            <w:pPr>
              <w:jc w:val="center"/>
              <w:rPr>
                <w:rFonts w:hint="eastAsia" w:asciiTheme="majorEastAsia" w:hAnsiTheme="majorEastAsia" w:eastAsiaTheme="majorEastAsia" w:cstheme="majorEastAsia"/>
                <w:sz w:val="18"/>
                <w:szCs w:val="18"/>
              </w:rPr>
            </w:pP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基础英语（二班）（3-4节）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10J-401都文娟  3-18周</w:t>
            </w:r>
          </w:p>
          <w:p>
            <w:pP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08"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551"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621" w:type="dxa"/>
            <w:vMerge w:val="continue"/>
            <w:shd w:val="clear" w:color="auto" w:fill="auto"/>
            <w:vAlign w:val="center"/>
          </w:tcPr>
          <w:p>
            <w:pPr>
              <w:jc w:val="center"/>
              <w:rPr>
                <w:rFonts w:asciiTheme="majorEastAsia" w:hAnsiTheme="majorEastAsia" w:eastAsiaTheme="majorEastAsia" w:cstheme="majorEastAsia"/>
                <w:spacing w:val="-20"/>
                <w:sz w:val="18"/>
                <w:szCs w:val="18"/>
              </w:rPr>
            </w:pPr>
          </w:p>
        </w:tc>
        <w:tc>
          <w:tcPr>
            <w:tcW w:w="2902"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8"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408"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中国特色社会主义理论与实践研究（二班）</w:t>
            </w:r>
          </w:p>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张敬梅等（5-7节）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（4-15周）</w:t>
            </w:r>
          </w:p>
          <w:p>
            <w:pPr>
              <w:jc w:val="center"/>
              <w:rPr>
                <w:rFonts w:asciiTheme="majorEastAsia" w:hAnsiTheme="majorEastAsia" w:eastAsiaTheme="majorEastAsia" w:cstheme="majorEastAsia"/>
                <w:sz w:val="18"/>
                <w:szCs w:val="18"/>
                <w:bdr w:val="single" w:color="auto" w:sz="4" w:space="0"/>
              </w:rPr>
            </w:pPr>
            <w:r>
              <w:rPr>
                <w:rFonts w:hint="eastAsia" w:asciiTheme="majorEastAsia" w:hAnsiTheme="majorEastAsia" w:eastAsiaTheme="majorEastAsia" w:cstheme="majorEastAsia"/>
                <w:color w:val="0000FF"/>
                <w:sz w:val="18"/>
                <w:szCs w:val="18"/>
              </w:rPr>
              <w:t>(11J-6301)</w:t>
            </w:r>
          </w:p>
          <w:p>
            <w:pPr>
              <w:jc w:val="center"/>
              <w:rPr>
                <w:rFonts w:asciiTheme="majorEastAsia" w:hAnsiTheme="majorEastAsia" w:eastAsiaTheme="majorEastAsia" w:cstheme="majorEastAsia"/>
                <w:sz w:val="18"/>
                <w:szCs w:val="18"/>
              </w:rPr>
            </w:pPr>
          </w:p>
        </w:tc>
        <w:tc>
          <w:tcPr>
            <w:tcW w:w="2551"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集体活动时间</w:t>
            </w:r>
          </w:p>
        </w:tc>
        <w:tc>
          <w:tcPr>
            <w:tcW w:w="2621" w:type="dxa"/>
            <w:vMerge w:val="restart"/>
            <w:shd w:val="clear" w:color="auto" w:fill="auto"/>
            <w:vAlign w:val="center"/>
          </w:tcPr>
          <w:p>
            <w:pPr>
              <w:jc w:val="center"/>
              <w:rPr>
                <w:sz w:val="18"/>
                <w:szCs w:val="18"/>
              </w:rPr>
            </w:pPr>
            <w:r>
              <w:rPr>
                <w:rFonts w:hint="eastAsia"/>
                <w:sz w:val="18"/>
                <w:szCs w:val="18"/>
              </w:rPr>
              <w:t>心理健康研究</w:t>
            </w:r>
          </w:p>
          <w:p>
            <w:pPr>
              <w:jc w:val="center"/>
              <w:rPr>
                <w:rFonts w:asciiTheme="majorEastAsia" w:hAnsiTheme="majorEastAsia" w:eastAsiaTheme="majorEastAsia" w:cstheme="majorEastAsia"/>
                <w:sz w:val="18"/>
                <w:szCs w:val="18"/>
              </w:rPr>
            </w:pPr>
            <w:r>
              <w:rPr>
                <w:rFonts w:hint="eastAsia"/>
                <w:sz w:val="18"/>
                <w:szCs w:val="18"/>
              </w:rPr>
              <w:t>佟月华</w:t>
            </w:r>
            <w:r>
              <w:rPr>
                <w:rFonts w:hint="eastAsia" w:asciiTheme="majorEastAsia" w:hAnsiTheme="majorEastAsia" w:eastAsiaTheme="majorEastAsia" w:cstheme="majorEastAsia"/>
                <w:sz w:val="18"/>
                <w:szCs w:val="18"/>
              </w:rPr>
              <w:t xml:space="preserve">（5-7节）（3-13周） </w:t>
            </w:r>
          </w:p>
          <w:p>
            <w:pPr>
              <w:jc w:val="center"/>
              <w:rPr>
                <w:rFonts w:asciiTheme="majorEastAsia" w:hAnsiTheme="majorEastAsia" w:eastAsiaTheme="majorEastAsia" w:cstheme="majorEastAsia"/>
                <w:spacing w:val="-20"/>
                <w:sz w:val="18"/>
                <w:szCs w:val="18"/>
              </w:rPr>
            </w:pPr>
            <w:r>
              <w:rPr>
                <w:rFonts w:hint="eastAsia" w:asciiTheme="majorEastAsia" w:hAnsiTheme="majorEastAsia" w:eastAsiaTheme="majorEastAsia" w:cstheme="majorEastAsia"/>
                <w:sz w:val="18"/>
                <w:szCs w:val="18"/>
              </w:rPr>
              <w:t>特教大楼A304</w:t>
            </w:r>
          </w:p>
        </w:tc>
        <w:tc>
          <w:tcPr>
            <w:tcW w:w="2902" w:type="dxa"/>
            <w:vMerge w:val="restart"/>
            <w:shd w:val="clear" w:color="auto" w:fill="auto"/>
            <w:vAlign w:val="center"/>
          </w:tcPr>
          <w:p>
            <w:pPr>
              <w:jc w:val="center"/>
              <w:rPr>
                <w:rFonts w:asciiTheme="majorEastAsia" w:hAnsiTheme="majorEastAsia" w:eastAsiaTheme="majorEastAsia" w:cstheme="majorEastAsia"/>
                <w:sz w:val="18"/>
                <w:szCs w:val="18"/>
              </w:rPr>
            </w:pP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心理学新进展</w:t>
            </w:r>
          </w:p>
          <w:p>
            <w:pPr>
              <w:jc w:val="center"/>
              <w:rPr>
                <w:rFonts w:asciiTheme="majorEastAsia" w:hAnsiTheme="majorEastAsia" w:eastAsiaTheme="majorEastAsia" w:cstheme="majorEastAsia"/>
                <w:sz w:val="18"/>
                <w:szCs w:val="18"/>
              </w:rPr>
            </w:pPr>
            <w:r>
              <w:rPr>
                <w:rFonts w:hint="eastAsia"/>
                <w:sz w:val="18"/>
                <w:szCs w:val="18"/>
              </w:rPr>
              <w:t>王本法</w:t>
            </w:r>
            <w:r>
              <w:rPr>
                <w:rFonts w:hint="eastAsia" w:asciiTheme="majorEastAsia" w:hAnsiTheme="majorEastAsia" w:eastAsiaTheme="majorEastAsia" w:cstheme="majorEastAsia"/>
                <w:sz w:val="18"/>
                <w:szCs w:val="18"/>
              </w:rPr>
              <w:t>（5-7节）（3-13周）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15研、16研</w:t>
            </w:r>
          </w:p>
          <w:p>
            <w:pPr>
              <w:jc w:val="center"/>
              <w:rPr>
                <w:rFonts w:asciiTheme="majorEastAsia" w:hAnsiTheme="majorEastAsia" w:eastAsiaTheme="majorEastAsia" w:cstheme="majorEastAsia"/>
                <w:sz w:val="18"/>
                <w:szCs w:val="18"/>
              </w:rPr>
            </w:pPr>
          </w:p>
        </w:tc>
        <w:tc>
          <w:tcPr>
            <w:tcW w:w="2767" w:type="dxa"/>
            <w:shd w:val="clear" w:color="auto" w:fill="auto"/>
            <w:vAlign w:val="center"/>
          </w:tcPr>
          <w:p>
            <w:pPr>
              <w:jc w:val="center"/>
              <w:rPr>
                <w:sz w:val="18"/>
                <w:szCs w:val="18"/>
              </w:rPr>
            </w:pPr>
          </w:p>
          <w:p>
            <w:pPr>
              <w:jc w:val="center"/>
              <w:rPr>
                <w:rFonts w:asciiTheme="majorEastAsia" w:hAnsiTheme="majorEastAsia" w:eastAsiaTheme="majorEastAsia" w:cstheme="majorEastAsia"/>
                <w:color w:val="000000" w:themeColor="text1"/>
                <w:sz w:val="18"/>
                <w:szCs w:val="18"/>
              </w:rPr>
            </w:pPr>
            <w:r>
              <w:rPr>
                <w:rFonts w:hint="eastAsia" w:asciiTheme="majorEastAsia" w:hAnsiTheme="majorEastAsia" w:eastAsiaTheme="majorEastAsia" w:cstheme="majorEastAsia"/>
                <w:color w:val="000000" w:themeColor="text1"/>
                <w:sz w:val="18"/>
                <w:szCs w:val="18"/>
              </w:rPr>
              <w:t>高级英语(5-6节)</w:t>
            </w:r>
          </w:p>
          <w:p>
            <w:pPr>
              <w:jc w:val="center"/>
              <w:rPr>
                <w:rFonts w:asciiTheme="majorEastAsia" w:hAnsiTheme="majorEastAsia" w:eastAsiaTheme="majorEastAsia" w:cstheme="majorEastAsia"/>
                <w:color w:val="000000" w:themeColor="text1"/>
                <w:sz w:val="18"/>
                <w:szCs w:val="18"/>
              </w:rPr>
            </w:pPr>
            <w:r>
              <w:rPr>
                <w:rFonts w:hint="eastAsia" w:asciiTheme="majorEastAsia" w:hAnsiTheme="majorEastAsia" w:eastAsiaTheme="majorEastAsia" w:cstheme="majorEastAsia"/>
                <w:color w:val="000000" w:themeColor="text1"/>
                <w:sz w:val="18"/>
                <w:szCs w:val="18"/>
              </w:rPr>
              <w:t>周志民3-18周</w:t>
            </w:r>
          </w:p>
          <w:p>
            <w:pPr>
              <w:jc w:val="center"/>
              <w:rPr>
                <w:sz w:val="18"/>
                <w:szCs w:val="18"/>
              </w:rPr>
            </w:pPr>
            <w:r>
              <w:rPr>
                <w:rFonts w:hint="eastAsia" w:asciiTheme="majorEastAsia" w:hAnsiTheme="majorEastAsia" w:eastAsiaTheme="majorEastAsia" w:cstheme="majorEastAsia"/>
                <w:color w:val="000000" w:themeColor="text1"/>
                <w:sz w:val="18"/>
                <w:szCs w:val="18"/>
              </w:rPr>
              <w:t>10J-401</w:t>
            </w:r>
            <w:bookmarkStart w:id="0" w:name="_GoBack"/>
            <w:bookmarkEnd w:id="0"/>
          </w:p>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08"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551" w:type="dxa"/>
            <w:shd w:val="clear" w:color="auto" w:fill="auto"/>
            <w:vAlign w:val="center"/>
          </w:tcPr>
          <w:p>
            <w:pPr>
              <w:jc w:val="center"/>
              <w:rPr>
                <w:rFonts w:asciiTheme="majorEastAsia" w:hAnsiTheme="majorEastAsia" w:eastAsiaTheme="majorEastAsia" w:cstheme="majorEastAsia"/>
                <w:sz w:val="18"/>
                <w:szCs w:val="18"/>
              </w:rPr>
            </w:pPr>
          </w:p>
        </w:tc>
        <w:tc>
          <w:tcPr>
            <w:tcW w:w="2621"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902"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152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408" w:type="dxa"/>
            <w:vAlign w:val="center"/>
          </w:tcPr>
          <w:p>
            <w:pPr>
              <w:jc w:val="center"/>
              <w:rPr>
                <w:rFonts w:asciiTheme="majorEastAsia" w:hAnsiTheme="majorEastAsia" w:eastAsiaTheme="majorEastAsia" w:cstheme="majorEastAsia"/>
                <w:sz w:val="18"/>
                <w:szCs w:val="18"/>
              </w:rPr>
            </w:pPr>
          </w:p>
        </w:tc>
        <w:tc>
          <w:tcPr>
            <w:tcW w:w="2551" w:type="dxa"/>
            <w:vAlign w:val="center"/>
          </w:tcPr>
          <w:p>
            <w:pPr>
              <w:jc w:val="center"/>
              <w:rPr>
                <w:rFonts w:asciiTheme="majorEastAsia" w:hAnsiTheme="majorEastAsia" w:eastAsiaTheme="majorEastAsia" w:cstheme="majorEastAsia"/>
                <w:sz w:val="18"/>
                <w:szCs w:val="18"/>
              </w:rPr>
            </w:pPr>
          </w:p>
        </w:tc>
        <w:tc>
          <w:tcPr>
            <w:tcW w:w="2621" w:type="dxa"/>
            <w:vAlign w:val="center"/>
          </w:tcPr>
          <w:p>
            <w:pPr>
              <w:jc w:val="center"/>
              <w:rPr>
                <w:rFonts w:asciiTheme="majorEastAsia" w:hAnsiTheme="majorEastAsia" w:eastAsiaTheme="majorEastAsia" w:cstheme="majorEastAsia"/>
                <w:sz w:val="18"/>
                <w:szCs w:val="18"/>
              </w:rPr>
            </w:pPr>
          </w:p>
        </w:tc>
        <w:tc>
          <w:tcPr>
            <w:tcW w:w="2902" w:type="dxa"/>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152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408" w:type="dxa"/>
          </w:tcPr>
          <w:p>
            <w:pPr>
              <w:jc w:val="center"/>
              <w:rPr>
                <w:rFonts w:asciiTheme="majorEastAsia" w:hAnsiTheme="majorEastAsia" w:eastAsiaTheme="majorEastAsia" w:cstheme="majorEastAsia"/>
                <w:sz w:val="18"/>
                <w:szCs w:val="18"/>
              </w:rPr>
            </w:pPr>
          </w:p>
        </w:tc>
        <w:tc>
          <w:tcPr>
            <w:tcW w:w="2551" w:type="dxa"/>
          </w:tcPr>
          <w:p>
            <w:pPr>
              <w:jc w:val="center"/>
              <w:rPr>
                <w:rFonts w:asciiTheme="majorEastAsia" w:hAnsiTheme="majorEastAsia" w:eastAsiaTheme="majorEastAsia" w:cstheme="majorEastAsia"/>
                <w:sz w:val="18"/>
                <w:szCs w:val="18"/>
              </w:rPr>
            </w:pPr>
          </w:p>
        </w:tc>
        <w:tc>
          <w:tcPr>
            <w:tcW w:w="2621" w:type="dxa"/>
          </w:tcPr>
          <w:p>
            <w:pPr>
              <w:jc w:val="center"/>
              <w:rPr>
                <w:rFonts w:asciiTheme="majorEastAsia" w:hAnsiTheme="majorEastAsia" w:eastAsiaTheme="majorEastAsia" w:cstheme="majorEastAsia"/>
                <w:sz w:val="18"/>
                <w:szCs w:val="18"/>
              </w:rPr>
            </w:pPr>
          </w:p>
        </w:tc>
        <w:tc>
          <w:tcPr>
            <w:tcW w:w="2902" w:type="dxa"/>
          </w:tcPr>
          <w:p>
            <w:pPr>
              <w:jc w:val="center"/>
              <w:rPr>
                <w:rFonts w:asciiTheme="majorEastAsia" w:hAnsiTheme="majorEastAsia" w:eastAsiaTheme="majorEastAsia" w:cstheme="majorEastAsia"/>
                <w:sz w:val="18"/>
                <w:szCs w:val="18"/>
              </w:rPr>
            </w:pPr>
          </w:p>
        </w:tc>
        <w:tc>
          <w:tcPr>
            <w:tcW w:w="2767" w:type="dxa"/>
          </w:tcPr>
          <w:p>
            <w:pPr>
              <w:jc w:val="center"/>
              <w:rPr>
                <w:rFonts w:asciiTheme="majorEastAsia" w:hAnsiTheme="majorEastAsia" w:eastAsiaTheme="majorEastAsia" w:cstheme="majorEastAsia"/>
                <w:sz w:val="18"/>
                <w:szCs w:val="18"/>
              </w:rPr>
            </w:pP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jc w:val="center"/>
        <w:rPr>
          <w:rFonts w:ascii="宋体" w:hAnsi="宋体"/>
          <w:spacing w:val="-6"/>
          <w:sz w:val="18"/>
          <w:szCs w:val="18"/>
        </w:rPr>
      </w:pPr>
    </w:p>
    <w:p>
      <w:pPr>
        <w:jc w:val="center"/>
        <w:rPr>
          <w:b/>
          <w:bCs/>
          <w:sz w:val="30"/>
          <w:szCs w:val="30"/>
        </w:rPr>
      </w:pPr>
    </w:p>
    <w:p>
      <w:pPr>
        <w:jc w:val="center"/>
        <w:rPr>
          <w:b/>
          <w:bCs/>
          <w:sz w:val="30"/>
          <w:szCs w:val="30"/>
        </w:rPr>
      </w:pPr>
    </w:p>
    <w:p>
      <w:pPr>
        <w:ind w:left="210" w:leftChars="100"/>
        <w:jc w:val="center"/>
        <w:rPr>
          <w:b/>
          <w:bCs/>
          <w:sz w:val="30"/>
          <w:szCs w:val="30"/>
          <w:highlight w:val="none"/>
        </w:rPr>
      </w:pPr>
      <w:r>
        <w:rPr>
          <w:rFonts w:hint="eastAsia"/>
          <w:b/>
          <w:bCs/>
          <w:sz w:val="30"/>
          <w:szCs w:val="30"/>
          <w:highlight w:val="none"/>
        </w:rPr>
        <w:t>济南大学</w:t>
      </w:r>
      <w:r>
        <w:rPr>
          <w:rFonts w:hint="eastAsia"/>
          <w:b/>
          <w:bCs/>
          <w:sz w:val="30"/>
          <w:szCs w:val="30"/>
          <w:highlight w:val="none"/>
          <w:lang w:eastAsia="zh-CN"/>
        </w:rPr>
        <w:t>教育与心理科学学院</w:t>
      </w:r>
      <w:r>
        <w:rPr>
          <w:rFonts w:hint="eastAsia"/>
          <w:b/>
          <w:bCs/>
          <w:sz w:val="30"/>
          <w:szCs w:val="30"/>
          <w:highlight w:val="none"/>
        </w:rPr>
        <w:t>2016-2017学年第一学期硕士研究生</w:t>
      </w:r>
      <w:r>
        <w:rPr>
          <w:rFonts w:hint="eastAsia"/>
          <w:b/>
          <w:bCs/>
          <w:sz w:val="30"/>
          <w:szCs w:val="30"/>
          <w:highlight w:val="none"/>
          <w:lang w:eastAsia="zh-CN"/>
        </w:rPr>
        <w:t>课</w:t>
      </w:r>
      <w:r>
        <w:rPr>
          <w:rFonts w:hint="eastAsia"/>
          <w:b/>
          <w:bCs/>
          <w:sz w:val="30"/>
          <w:szCs w:val="30"/>
          <w:highlight w:val="none"/>
        </w:rPr>
        <w:t>程表</w:t>
      </w:r>
    </w:p>
    <w:p>
      <w:pPr>
        <w:ind w:left="210" w:leftChars="100"/>
        <w:jc w:val="center"/>
        <w:rPr>
          <w:b/>
          <w:bCs/>
          <w:sz w:val="30"/>
          <w:szCs w:val="30"/>
        </w:rPr>
      </w:pPr>
      <w:r>
        <w:rPr>
          <w:rFonts w:hint="eastAsia"/>
          <w:b/>
          <w:bCs/>
          <w:sz w:val="30"/>
          <w:szCs w:val="30"/>
        </w:rPr>
        <w:t>教育管理</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430"/>
        <w:gridCol w:w="2750"/>
        <w:gridCol w:w="2337"/>
        <w:gridCol w:w="283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663"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43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33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83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66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430" w:type="dxa"/>
            <w:vMerge w:val="restart"/>
            <w:shd w:val="clear" w:color="auto" w:fill="auto"/>
            <w:vAlign w:val="center"/>
          </w:tcPr>
          <w:p>
            <w:pPr>
              <w:jc w:val="center"/>
              <w:rPr>
                <w:rFonts w:asciiTheme="majorEastAsia" w:hAnsiTheme="majorEastAsia" w:eastAsiaTheme="majorEastAsia" w:cstheme="majorEastAsia"/>
                <w:sz w:val="18"/>
                <w:szCs w:val="18"/>
              </w:rPr>
            </w:pPr>
          </w:p>
        </w:tc>
        <w:tc>
          <w:tcPr>
            <w:tcW w:w="2750" w:type="dxa"/>
            <w:vMerge w:val="restart"/>
            <w:shd w:val="clear" w:color="auto" w:fill="auto"/>
            <w:vAlign w:val="center"/>
          </w:tcPr>
          <w:p>
            <w:pPr>
              <w:jc w:val="center"/>
              <w:rPr>
                <w:sz w:val="18"/>
                <w:szCs w:val="18"/>
              </w:rPr>
            </w:pPr>
            <w:r>
              <w:rPr>
                <w:rFonts w:hint="eastAsia"/>
                <w:sz w:val="18"/>
                <w:szCs w:val="18"/>
              </w:rPr>
              <w:t>教育学原理</w:t>
            </w:r>
          </w:p>
          <w:p>
            <w:pPr>
              <w:jc w:val="center"/>
              <w:rPr>
                <w:sz w:val="18"/>
                <w:szCs w:val="18"/>
              </w:rPr>
            </w:pPr>
            <w:r>
              <w:rPr>
                <w:rFonts w:hint="eastAsia"/>
                <w:sz w:val="18"/>
                <w:szCs w:val="18"/>
              </w:rPr>
              <w:t>张素玲（1-3节）（3-13周）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tc>
        <w:tc>
          <w:tcPr>
            <w:tcW w:w="2337" w:type="dxa"/>
            <w:vMerge w:val="restart"/>
            <w:shd w:val="clear" w:color="auto" w:fill="auto"/>
            <w:vAlign w:val="center"/>
          </w:tcPr>
          <w:p>
            <w:pPr>
              <w:rPr>
                <w:rFonts w:hint="eastAsia" w:asciiTheme="majorEastAsia" w:hAnsiTheme="majorEastAsia" w:eastAsiaTheme="majorEastAsia" w:cstheme="majorEastAsia"/>
                <w:sz w:val="18"/>
                <w:szCs w:val="18"/>
              </w:rPr>
            </w:pPr>
          </w:p>
          <w:p>
            <w:pPr>
              <w:rPr>
                <w:rFonts w:hint="eastAsia" w:asciiTheme="majorEastAsia" w:hAnsiTheme="majorEastAsia" w:eastAsiaTheme="majorEastAsia" w:cstheme="majorEastAsia"/>
                <w:sz w:val="18"/>
                <w:szCs w:val="18"/>
              </w:rPr>
            </w:pP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基础英语（二班）（3-4节）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10J-401都文娟 3-18周</w:t>
            </w:r>
          </w:p>
          <w:p>
            <w:pPr>
              <w:jc w:val="center"/>
              <w:rPr>
                <w:rFonts w:asciiTheme="majorEastAsia" w:hAnsiTheme="majorEastAsia" w:eastAsiaTheme="majorEastAsia" w:cstheme="majorEastAsia"/>
                <w:spacing w:val="-20"/>
                <w:sz w:val="18"/>
                <w:szCs w:val="18"/>
              </w:rPr>
            </w:pPr>
          </w:p>
        </w:tc>
        <w:tc>
          <w:tcPr>
            <w:tcW w:w="2830" w:type="dxa"/>
            <w:vMerge w:val="restart"/>
            <w:shd w:val="clear" w:color="auto" w:fill="auto"/>
            <w:vAlign w:val="center"/>
          </w:tcPr>
          <w:p>
            <w:pPr>
              <w:jc w:val="center"/>
              <w:rPr>
                <w:rFonts w:hint="eastAsia" w:asciiTheme="majorEastAsia" w:hAnsiTheme="majorEastAsia" w:eastAsiaTheme="majorEastAsia" w:cstheme="majorEastAsia"/>
                <w:sz w:val="18"/>
                <w:szCs w:val="18"/>
              </w:rPr>
            </w:pPr>
          </w:p>
          <w:p>
            <w:pPr>
              <w:jc w:val="center"/>
              <w:rPr>
                <w:rFonts w:hint="eastAsia" w:asciiTheme="majorEastAsia" w:hAnsiTheme="majorEastAsia" w:eastAsiaTheme="majorEastAsia" w:cstheme="majorEastAsia"/>
                <w:sz w:val="18"/>
                <w:szCs w:val="18"/>
              </w:rPr>
            </w:pP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教育经济与管理问题研究</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虞宁宁（3-4节）3-10周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tc>
        <w:tc>
          <w:tcPr>
            <w:tcW w:w="2767" w:type="dxa"/>
            <w:vMerge w:val="restart"/>
            <w:shd w:val="clear" w:color="auto" w:fill="auto"/>
            <w:vAlign w:val="center"/>
          </w:tcPr>
          <w:p>
            <w:pPr>
              <w:jc w:val="center"/>
              <w:rPr>
                <w:rFonts w:hint="eastAsia" w:asciiTheme="majorEastAsia" w:hAnsiTheme="majorEastAsia" w:eastAsiaTheme="majorEastAsia" w:cstheme="majorEastAsia"/>
                <w:sz w:val="18"/>
                <w:szCs w:val="18"/>
              </w:rPr>
            </w:pPr>
          </w:p>
          <w:p>
            <w:pPr>
              <w:jc w:val="center"/>
              <w:rPr>
                <w:rFonts w:hint="eastAsia" w:asciiTheme="majorEastAsia" w:hAnsiTheme="majorEastAsia" w:eastAsiaTheme="majorEastAsia" w:cstheme="majorEastAsia"/>
                <w:sz w:val="18"/>
                <w:szCs w:val="18"/>
              </w:rPr>
            </w:pPr>
          </w:p>
          <w:p>
            <w:pPr>
              <w:jc w:val="center"/>
              <w:rPr>
                <w:rFonts w:hint="eastAsia" w:asciiTheme="majorEastAsia" w:hAnsiTheme="majorEastAsia" w:eastAsiaTheme="majorEastAsia" w:cstheme="majorEastAsia"/>
                <w:sz w:val="18"/>
                <w:szCs w:val="18"/>
              </w:rPr>
            </w:pP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基础英语（二班）（3-4节）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10J-401都文娟  3-18周</w:t>
            </w:r>
          </w:p>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166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3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5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337" w:type="dxa"/>
            <w:vMerge w:val="continue"/>
            <w:shd w:val="clear" w:color="auto" w:fill="auto"/>
            <w:vAlign w:val="center"/>
          </w:tcPr>
          <w:p>
            <w:pPr>
              <w:jc w:val="center"/>
              <w:rPr>
                <w:rFonts w:asciiTheme="majorEastAsia" w:hAnsiTheme="majorEastAsia" w:eastAsiaTheme="majorEastAsia" w:cstheme="majorEastAsia"/>
                <w:spacing w:val="-20"/>
                <w:sz w:val="18"/>
                <w:szCs w:val="18"/>
              </w:rPr>
            </w:pPr>
          </w:p>
        </w:tc>
        <w:tc>
          <w:tcPr>
            <w:tcW w:w="283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7" w:hRule="atLeast"/>
        </w:trPr>
        <w:tc>
          <w:tcPr>
            <w:tcW w:w="166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43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教育经济与管理问题研究</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虞宁宁（5-6节）3-10周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集体活动时间</w:t>
            </w:r>
          </w:p>
        </w:tc>
        <w:tc>
          <w:tcPr>
            <w:tcW w:w="2337" w:type="dxa"/>
            <w:shd w:val="clear" w:color="auto" w:fill="auto"/>
            <w:vAlign w:val="center"/>
          </w:tcPr>
          <w:p>
            <w:pPr>
              <w:jc w:val="center"/>
              <w:rPr>
                <w:rFonts w:asciiTheme="majorEastAsia" w:hAnsiTheme="majorEastAsia" w:eastAsiaTheme="majorEastAsia" w:cstheme="majorEastAsia"/>
                <w:spacing w:val="-20"/>
                <w:sz w:val="18"/>
                <w:szCs w:val="18"/>
              </w:rPr>
            </w:pPr>
          </w:p>
        </w:tc>
        <w:tc>
          <w:tcPr>
            <w:tcW w:w="2830" w:type="dxa"/>
            <w:shd w:val="clear" w:color="auto" w:fill="auto"/>
            <w:vAlign w:val="center"/>
          </w:tcPr>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政治理论（含教师职业道德教育）(教育硕士)</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（5-7节） 3-13周</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文洪朝  王常柱等</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lang w:val="en-US" w:eastAsia="zh-CN"/>
              </w:rPr>
              <w:t>(2J-201)</w:t>
            </w:r>
          </w:p>
        </w:tc>
        <w:tc>
          <w:tcPr>
            <w:tcW w:w="2767"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课程与教学论</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（5-7节） 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于丽琴 李福春</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4" w:hRule="atLeast"/>
        </w:trPr>
        <w:tc>
          <w:tcPr>
            <w:tcW w:w="166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30" w:type="dxa"/>
            <w:shd w:val="clear" w:color="auto" w:fill="auto"/>
            <w:vAlign w:val="center"/>
          </w:tcPr>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教育哲学</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王玲（7-8节）3-10周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tc>
        <w:tc>
          <w:tcPr>
            <w:tcW w:w="2337" w:type="dxa"/>
            <w:shd w:val="clear" w:color="auto" w:fill="auto"/>
            <w:vAlign w:val="center"/>
          </w:tcPr>
          <w:p>
            <w:pPr>
              <w:jc w:val="center"/>
              <w:rPr>
                <w:rFonts w:asciiTheme="majorEastAsia" w:hAnsiTheme="majorEastAsia" w:eastAsiaTheme="majorEastAsia" w:cstheme="majorEastAsia"/>
                <w:sz w:val="18"/>
                <w:szCs w:val="18"/>
              </w:rPr>
            </w:pPr>
          </w:p>
        </w:tc>
        <w:tc>
          <w:tcPr>
            <w:tcW w:w="2830" w:type="dxa"/>
            <w:shd w:val="clear" w:color="auto" w:fill="auto"/>
            <w:vAlign w:val="center"/>
          </w:tcPr>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教育哲学</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王玲（7-8节）3-10周</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4J307</w:t>
            </w: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166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430" w:type="dxa"/>
            <w:vAlign w:val="center"/>
          </w:tcPr>
          <w:p>
            <w:pPr>
              <w:jc w:val="center"/>
              <w:rPr>
                <w:rFonts w:asciiTheme="majorEastAsia" w:hAnsiTheme="majorEastAsia" w:eastAsiaTheme="majorEastAsia" w:cstheme="majorEastAsia"/>
                <w:sz w:val="18"/>
                <w:szCs w:val="18"/>
              </w:rPr>
            </w:pPr>
          </w:p>
        </w:tc>
        <w:tc>
          <w:tcPr>
            <w:tcW w:w="2750" w:type="dxa"/>
            <w:vAlign w:val="center"/>
          </w:tcPr>
          <w:p>
            <w:pPr>
              <w:jc w:val="center"/>
              <w:rPr>
                <w:rFonts w:asciiTheme="majorEastAsia" w:hAnsiTheme="majorEastAsia" w:eastAsiaTheme="majorEastAsia" w:cstheme="majorEastAsia"/>
                <w:sz w:val="18"/>
                <w:szCs w:val="18"/>
              </w:rPr>
            </w:pPr>
          </w:p>
        </w:tc>
        <w:tc>
          <w:tcPr>
            <w:tcW w:w="2337" w:type="dxa"/>
            <w:vMerge w:val="restart"/>
            <w:shd w:val="clear" w:color="auto" w:fill="auto"/>
            <w:vAlign w:val="center"/>
          </w:tcPr>
          <w:p>
            <w:pPr>
              <w:jc w:val="center"/>
              <w:rPr>
                <w:sz w:val="18"/>
                <w:szCs w:val="18"/>
              </w:rPr>
            </w:pPr>
            <w:r>
              <w:rPr>
                <w:rFonts w:hint="eastAsia"/>
                <w:sz w:val="18"/>
                <w:szCs w:val="18"/>
              </w:rPr>
              <w:t>教育管理学</w:t>
            </w:r>
          </w:p>
          <w:p>
            <w:pPr>
              <w:jc w:val="center"/>
              <w:rPr>
                <w:sz w:val="18"/>
                <w:szCs w:val="18"/>
              </w:rPr>
            </w:pPr>
            <w:r>
              <w:rPr>
                <w:rFonts w:hint="eastAsia"/>
                <w:sz w:val="18"/>
                <w:szCs w:val="18"/>
              </w:rPr>
              <w:t>张继明（9-11节）（3-18周）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tc>
        <w:tc>
          <w:tcPr>
            <w:tcW w:w="2830" w:type="dxa"/>
            <w:vMerge w:val="restart"/>
            <w:shd w:val="clear" w:color="auto" w:fill="auto"/>
            <w:vAlign w:val="center"/>
          </w:tcPr>
          <w:p>
            <w:pPr>
              <w:jc w:val="center"/>
              <w:rPr>
                <w:sz w:val="18"/>
                <w:szCs w:val="18"/>
              </w:rPr>
            </w:pPr>
            <w:r>
              <w:rPr>
                <w:rFonts w:hint="eastAsia"/>
                <w:sz w:val="18"/>
                <w:szCs w:val="18"/>
              </w:rPr>
              <w:t>教育政策与法规研究</w:t>
            </w:r>
          </w:p>
          <w:p>
            <w:pPr>
              <w:jc w:val="center"/>
              <w:rPr>
                <w:sz w:val="18"/>
                <w:szCs w:val="18"/>
              </w:rPr>
            </w:pPr>
            <w:r>
              <w:rPr>
                <w:rFonts w:hint="eastAsia"/>
                <w:sz w:val="18"/>
                <w:szCs w:val="18"/>
              </w:rPr>
              <w:t>刘福才（9-11节）（3-13周）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tc>
        <w:tc>
          <w:tcPr>
            <w:tcW w:w="2767" w:type="dxa"/>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66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430" w:type="dxa"/>
          </w:tcPr>
          <w:p>
            <w:pPr>
              <w:jc w:val="center"/>
              <w:rPr>
                <w:rFonts w:asciiTheme="majorEastAsia" w:hAnsiTheme="majorEastAsia" w:eastAsiaTheme="majorEastAsia" w:cstheme="majorEastAsia"/>
                <w:sz w:val="18"/>
                <w:szCs w:val="18"/>
              </w:rPr>
            </w:pPr>
          </w:p>
        </w:tc>
        <w:tc>
          <w:tcPr>
            <w:tcW w:w="2750" w:type="dxa"/>
          </w:tcPr>
          <w:p>
            <w:pPr>
              <w:jc w:val="center"/>
              <w:rPr>
                <w:rFonts w:asciiTheme="majorEastAsia" w:hAnsiTheme="majorEastAsia" w:eastAsiaTheme="majorEastAsia" w:cstheme="majorEastAsia"/>
                <w:sz w:val="18"/>
                <w:szCs w:val="18"/>
              </w:rPr>
            </w:pPr>
          </w:p>
        </w:tc>
        <w:tc>
          <w:tcPr>
            <w:tcW w:w="2337" w:type="dxa"/>
            <w:vMerge w:val="continue"/>
          </w:tcPr>
          <w:p>
            <w:pPr>
              <w:jc w:val="center"/>
              <w:rPr>
                <w:rFonts w:asciiTheme="majorEastAsia" w:hAnsiTheme="majorEastAsia" w:eastAsiaTheme="majorEastAsia" w:cstheme="majorEastAsia"/>
                <w:sz w:val="18"/>
                <w:szCs w:val="18"/>
              </w:rPr>
            </w:pPr>
          </w:p>
        </w:tc>
        <w:tc>
          <w:tcPr>
            <w:tcW w:w="2830" w:type="dxa"/>
            <w:vMerge w:val="continue"/>
          </w:tcPr>
          <w:p>
            <w:pPr>
              <w:jc w:val="center"/>
              <w:rPr>
                <w:rFonts w:asciiTheme="majorEastAsia" w:hAnsiTheme="majorEastAsia" w:eastAsiaTheme="majorEastAsia" w:cstheme="majorEastAsia"/>
                <w:sz w:val="18"/>
                <w:szCs w:val="18"/>
              </w:rPr>
            </w:pPr>
          </w:p>
        </w:tc>
        <w:tc>
          <w:tcPr>
            <w:tcW w:w="2767" w:type="dxa"/>
          </w:tcPr>
          <w:p>
            <w:pPr>
              <w:jc w:val="center"/>
              <w:rPr>
                <w:rFonts w:asciiTheme="majorEastAsia" w:hAnsiTheme="majorEastAsia" w:eastAsiaTheme="majorEastAsia" w:cstheme="majorEastAsia"/>
                <w:sz w:val="18"/>
                <w:szCs w:val="18"/>
              </w:rPr>
            </w:pP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ind w:left="210" w:leftChars="100"/>
        <w:jc w:val="center"/>
        <w:rPr>
          <w:b/>
          <w:bCs/>
          <w:sz w:val="30"/>
          <w:szCs w:val="30"/>
        </w:rPr>
      </w:pPr>
    </w:p>
    <w:p>
      <w:pPr>
        <w:ind w:left="210" w:leftChars="100"/>
        <w:jc w:val="center"/>
        <w:rPr>
          <w:b/>
          <w:bCs/>
          <w:sz w:val="30"/>
          <w:szCs w:val="30"/>
        </w:rPr>
      </w:pPr>
    </w:p>
    <w:p>
      <w:pPr>
        <w:ind w:left="210" w:leftChars="100"/>
        <w:jc w:val="center"/>
        <w:rPr>
          <w:b/>
          <w:bCs/>
          <w:sz w:val="30"/>
          <w:szCs w:val="30"/>
          <w:highlight w:val="none"/>
        </w:rPr>
      </w:pPr>
      <w:r>
        <w:rPr>
          <w:rFonts w:hint="eastAsia"/>
          <w:b/>
          <w:bCs/>
          <w:sz w:val="30"/>
          <w:szCs w:val="30"/>
          <w:highlight w:val="none"/>
        </w:rPr>
        <w:t>济南大学</w:t>
      </w:r>
      <w:r>
        <w:rPr>
          <w:rFonts w:hint="eastAsia"/>
          <w:b/>
          <w:bCs/>
          <w:sz w:val="30"/>
          <w:szCs w:val="30"/>
          <w:highlight w:val="none"/>
          <w:lang w:eastAsia="zh-CN"/>
        </w:rPr>
        <w:t>教育与心理科学学院</w:t>
      </w:r>
      <w:r>
        <w:rPr>
          <w:rFonts w:hint="eastAsia"/>
          <w:b/>
          <w:bCs/>
          <w:sz w:val="30"/>
          <w:szCs w:val="30"/>
          <w:highlight w:val="none"/>
        </w:rPr>
        <w:t>2016-2017学年第一学期硕士研究生</w:t>
      </w:r>
      <w:r>
        <w:rPr>
          <w:rFonts w:hint="eastAsia"/>
          <w:b/>
          <w:bCs/>
          <w:sz w:val="30"/>
          <w:szCs w:val="30"/>
          <w:highlight w:val="none"/>
          <w:lang w:eastAsia="zh-CN"/>
        </w:rPr>
        <w:t>课</w:t>
      </w:r>
      <w:r>
        <w:rPr>
          <w:rFonts w:hint="eastAsia"/>
          <w:b/>
          <w:bCs/>
          <w:sz w:val="30"/>
          <w:szCs w:val="30"/>
          <w:highlight w:val="none"/>
        </w:rPr>
        <w:t>程表</w:t>
      </w:r>
    </w:p>
    <w:p>
      <w:pPr>
        <w:ind w:left="210" w:leftChars="100"/>
        <w:jc w:val="center"/>
        <w:rPr>
          <w:b/>
          <w:bCs/>
          <w:sz w:val="30"/>
          <w:szCs w:val="30"/>
        </w:rPr>
      </w:pPr>
      <w:r>
        <w:rPr>
          <w:rFonts w:hint="eastAsia"/>
          <w:b/>
          <w:bCs/>
          <w:sz w:val="30"/>
          <w:szCs w:val="30"/>
        </w:rPr>
        <w:t>特殊教育</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565"/>
        <w:gridCol w:w="2678"/>
        <w:gridCol w:w="2409"/>
        <w:gridCol w:w="283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2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5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67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409"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83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565" w:type="dxa"/>
            <w:vMerge w:val="restart"/>
            <w:shd w:val="clear" w:color="auto" w:fill="auto"/>
            <w:vAlign w:val="center"/>
          </w:tcPr>
          <w:p>
            <w:pPr>
              <w:jc w:val="center"/>
              <w:rPr>
                <w:color w:val="FF0000"/>
                <w:sz w:val="18"/>
                <w:szCs w:val="18"/>
              </w:rPr>
            </w:pPr>
            <w:r>
              <w:rPr>
                <w:rFonts w:hint="eastAsia"/>
                <w:color w:val="FF0000"/>
                <w:sz w:val="18"/>
                <w:szCs w:val="18"/>
              </w:rPr>
              <w:t>特殊儿童的测量与评估</w:t>
            </w:r>
          </w:p>
          <w:p>
            <w:pPr>
              <w:jc w:val="center"/>
              <w:rPr>
                <w:color w:val="FF0000"/>
                <w:sz w:val="18"/>
                <w:szCs w:val="18"/>
              </w:rPr>
            </w:pPr>
            <w:r>
              <w:rPr>
                <w:rFonts w:hint="eastAsia"/>
                <w:color w:val="FF0000"/>
                <w:sz w:val="18"/>
                <w:szCs w:val="18"/>
              </w:rPr>
              <w:t>宿淑华（1-</w:t>
            </w:r>
            <w:r>
              <w:rPr>
                <w:rFonts w:hint="eastAsia"/>
                <w:color w:val="FF0000"/>
                <w:sz w:val="18"/>
                <w:szCs w:val="18"/>
                <w:lang w:val="en-US" w:eastAsia="zh-CN"/>
              </w:rPr>
              <w:t>4</w:t>
            </w:r>
            <w:r>
              <w:rPr>
                <w:rFonts w:hint="eastAsia"/>
                <w:color w:val="FF0000"/>
                <w:sz w:val="18"/>
                <w:szCs w:val="18"/>
              </w:rPr>
              <w:t>节）（3-6周）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FF0000"/>
                <w:sz w:val="18"/>
                <w:szCs w:val="18"/>
              </w:rPr>
              <w:t>特教大楼A407</w:t>
            </w:r>
          </w:p>
        </w:tc>
        <w:tc>
          <w:tcPr>
            <w:tcW w:w="2678" w:type="dxa"/>
            <w:vMerge w:val="restart"/>
            <w:shd w:val="clear" w:color="auto" w:fill="auto"/>
            <w:vAlign w:val="center"/>
          </w:tcPr>
          <w:p>
            <w:pPr>
              <w:jc w:val="center"/>
              <w:rPr>
                <w:sz w:val="18"/>
                <w:szCs w:val="18"/>
              </w:rPr>
            </w:pPr>
            <w:r>
              <w:rPr>
                <w:rFonts w:hint="eastAsia"/>
                <w:sz w:val="18"/>
                <w:szCs w:val="18"/>
              </w:rPr>
              <w:t>教育学原理</w:t>
            </w:r>
          </w:p>
          <w:p>
            <w:pPr>
              <w:jc w:val="center"/>
              <w:rPr>
                <w:sz w:val="18"/>
                <w:szCs w:val="18"/>
              </w:rPr>
            </w:pPr>
            <w:r>
              <w:rPr>
                <w:rFonts w:hint="eastAsia"/>
                <w:sz w:val="18"/>
                <w:szCs w:val="18"/>
              </w:rPr>
              <w:t>张素玲（1-3节）（3-13周）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学习困难儿童的干预研究</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孙英红</w:t>
            </w:r>
            <w:r>
              <w:rPr>
                <w:rFonts w:hint="eastAsia"/>
                <w:sz w:val="18"/>
                <w:szCs w:val="18"/>
              </w:rPr>
              <w:t>（1-</w:t>
            </w:r>
            <w:r>
              <w:rPr>
                <w:rFonts w:hint="eastAsia"/>
                <w:sz w:val="18"/>
                <w:szCs w:val="18"/>
                <w:lang w:val="en-US" w:eastAsia="zh-CN"/>
              </w:rPr>
              <w:t>4</w:t>
            </w:r>
            <w:r>
              <w:rPr>
                <w:rFonts w:hint="eastAsia"/>
                <w:sz w:val="18"/>
                <w:szCs w:val="18"/>
              </w:rPr>
              <w:t>节）</w:t>
            </w:r>
            <w:r>
              <w:rPr>
                <w:rFonts w:hint="eastAsia" w:asciiTheme="majorEastAsia" w:hAnsiTheme="majorEastAsia" w:eastAsiaTheme="majorEastAsia" w:cstheme="majorEastAsia"/>
                <w:sz w:val="18"/>
                <w:szCs w:val="18"/>
              </w:rPr>
              <w:t>（14-17周）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p>
            <w:pPr>
              <w:jc w:val="center"/>
              <w:rPr>
                <w:rFonts w:asciiTheme="majorEastAsia" w:hAnsiTheme="majorEastAsia" w:eastAsiaTheme="majorEastAsia" w:cstheme="majorEastAsia"/>
                <w:sz w:val="18"/>
                <w:szCs w:val="18"/>
              </w:rPr>
            </w:pPr>
          </w:p>
        </w:tc>
        <w:tc>
          <w:tcPr>
            <w:tcW w:w="2409" w:type="dxa"/>
            <w:vMerge w:val="restart"/>
            <w:shd w:val="clear" w:color="auto" w:fill="auto"/>
            <w:vAlign w:val="center"/>
          </w:tcPr>
          <w:p>
            <w:pPr>
              <w:jc w:val="center"/>
              <w:rPr>
                <w:color w:val="FF0000"/>
                <w:sz w:val="18"/>
                <w:szCs w:val="18"/>
              </w:rPr>
            </w:pPr>
            <w:r>
              <w:rPr>
                <w:rFonts w:hint="eastAsia"/>
                <w:color w:val="FF0000"/>
                <w:sz w:val="18"/>
                <w:szCs w:val="18"/>
              </w:rPr>
              <w:t>特殊儿童的测量与评估</w:t>
            </w:r>
          </w:p>
          <w:p>
            <w:pPr>
              <w:jc w:val="center"/>
              <w:rPr>
                <w:color w:val="FF0000"/>
                <w:sz w:val="18"/>
                <w:szCs w:val="18"/>
              </w:rPr>
            </w:pPr>
            <w:r>
              <w:rPr>
                <w:rFonts w:hint="eastAsia"/>
                <w:color w:val="FF0000"/>
                <w:sz w:val="18"/>
                <w:szCs w:val="18"/>
              </w:rPr>
              <w:t>宿淑华（1-2节）（3-6周）</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特教大楼A座304</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基础英语（二班）（3-4节）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10J-401都文娟 3-18周</w:t>
            </w:r>
          </w:p>
          <w:p>
            <w:pPr>
              <w:jc w:val="center"/>
              <w:rPr>
                <w:rFonts w:asciiTheme="majorEastAsia" w:hAnsiTheme="majorEastAsia" w:eastAsiaTheme="majorEastAsia" w:cstheme="majorEastAsia"/>
                <w:spacing w:val="-20"/>
                <w:sz w:val="18"/>
                <w:szCs w:val="18"/>
              </w:rPr>
            </w:pPr>
          </w:p>
        </w:tc>
        <w:tc>
          <w:tcPr>
            <w:tcW w:w="2830" w:type="dxa"/>
            <w:vMerge w:val="restart"/>
            <w:shd w:val="clear" w:color="auto" w:fill="auto"/>
            <w:vAlign w:val="center"/>
          </w:tcPr>
          <w:p>
            <w:pPr>
              <w:jc w:val="center"/>
              <w:rPr>
                <w:sz w:val="18"/>
                <w:szCs w:val="18"/>
              </w:rPr>
            </w:pPr>
            <w:r>
              <w:rPr>
                <w:rFonts w:hint="eastAsia"/>
                <w:sz w:val="18"/>
                <w:szCs w:val="18"/>
              </w:rPr>
              <w:t>特殊教发展前沿专题育</w:t>
            </w:r>
          </w:p>
          <w:p>
            <w:pPr>
              <w:jc w:val="center"/>
              <w:rPr>
                <w:sz w:val="18"/>
                <w:szCs w:val="18"/>
              </w:rPr>
            </w:pPr>
            <w:r>
              <w:rPr>
                <w:rFonts w:hint="eastAsia"/>
                <w:sz w:val="18"/>
                <w:szCs w:val="18"/>
              </w:rPr>
              <w:t>张婷（1-3节）</w:t>
            </w:r>
          </w:p>
          <w:p>
            <w:pPr>
              <w:jc w:val="center"/>
              <w:rPr>
                <w:sz w:val="18"/>
                <w:szCs w:val="18"/>
              </w:rPr>
            </w:pPr>
            <w:r>
              <w:rPr>
                <w:rFonts w:hint="eastAsia"/>
                <w:sz w:val="18"/>
                <w:szCs w:val="18"/>
              </w:rPr>
              <w:t>（3-13周）</w:t>
            </w:r>
            <w:r>
              <w:rPr>
                <w:rFonts w:hint="eastAsia" w:asciiTheme="majorEastAsia" w:hAnsiTheme="majorEastAsia" w:eastAsiaTheme="majorEastAsia" w:cstheme="majorEastAsia"/>
                <w:sz w:val="18"/>
                <w:szCs w:val="18"/>
              </w:rPr>
              <w:t>特教大楼A304</w:t>
            </w:r>
          </w:p>
        </w:tc>
        <w:tc>
          <w:tcPr>
            <w:tcW w:w="2767" w:type="dxa"/>
            <w:vMerge w:val="restart"/>
            <w:shd w:val="clear" w:color="auto" w:fill="auto"/>
            <w:vAlign w:val="center"/>
          </w:tcPr>
          <w:p>
            <w:pPr>
              <w:jc w:val="center"/>
              <w:rPr>
                <w:color w:val="FF0000"/>
                <w:sz w:val="18"/>
                <w:szCs w:val="18"/>
              </w:rPr>
            </w:pPr>
            <w:r>
              <w:rPr>
                <w:rFonts w:hint="eastAsia"/>
                <w:color w:val="FF0000"/>
                <w:sz w:val="18"/>
                <w:szCs w:val="18"/>
              </w:rPr>
              <w:t>特殊儿童的测量与评估</w:t>
            </w:r>
          </w:p>
          <w:p>
            <w:pPr>
              <w:jc w:val="center"/>
              <w:rPr>
                <w:color w:val="FF0000"/>
                <w:sz w:val="18"/>
                <w:szCs w:val="18"/>
              </w:rPr>
            </w:pPr>
            <w:r>
              <w:rPr>
                <w:rFonts w:hint="eastAsia"/>
                <w:color w:val="FF0000"/>
                <w:sz w:val="18"/>
                <w:szCs w:val="18"/>
              </w:rPr>
              <w:t>宿淑华（1-2节）（3-6周）</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4J307</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基础英语（二班）（3-4节）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 都文娟  3-18周</w:t>
            </w:r>
          </w:p>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65"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678"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409" w:type="dxa"/>
            <w:vMerge w:val="continue"/>
            <w:shd w:val="clear" w:color="auto" w:fill="auto"/>
            <w:vAlign w:val="center"/>
          </w:tcPr>
          <w:p>
            <w:pPr>
              <w:jc w:val="center"/>
              <w:rPr>
                <w:rFonts w:asciiTheme="majorEastAsia" w:hAnsiTheme="majorEastAsia" w:eastAsiaTheme="majorEastAsia" w:cstheme="majorEastAsia"/>
                <w:spacing w:val="-20"/>
                <w:sz w:val="18"/>
                <w:szCs w:val="18"/>
              </w:rPr>
            </w:pPr>
          </w:p>
        </w:tc>
        <w:tc>
          <w:tcPr>
            <w:tcW w:w="283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565" w:type="dxa"/>
            <w:shd w:val="clear" w:color="auto" w:fill="auto"/>
            <w:vAlign w:val="center"/>
          </w:tcPr>
          <w:p>
            <w:pPr>
              <w:jc w:val="center"/>
              <w:rPr>
                <w:rFonts w:asciiTheme="majorEastAsia" w:hAnsiTheme="majorEastAsia" w:eastAsiaTheme="majorEastAsia" w:cstheme="majorEastAsia"/>
                <w:sz w:val="18"/>
                <w:szCs w:val="18"/>
              </w:rPr>
            </w:pPr>
          </w:p>
        </w:tc>
        <w:tc>
          <w:tcPr>
            <w:tcW w:w="2678" w:type="dxa"/>
            <w:shd w:val="clear" w:color="auto" w:fill="auto"/>
            <w:vAlign w:val="center"/>
          </w:tcPr>
          <w:p>
            <w:pPr>
              <w:ind w:left="420" w:leftChars="20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集体活动时间</w:t>
            </w:r>
          </w:p>
          <w:p>
            <w:pPr>
              <w:ind w:left="420" w:leftChars="200"/>
              <w:jc w:val="center"/>
              <w:rPr>
                <w:rFonts w:hint="eastAsia" w:asciiTheme="majorEastAsia" w:hAnsiTheme="majorEastAsia" w:eastAsiaTheme="majorEastAsia" w:cstheme="majorEastAsia"/>
                <w:sz w:val="18"/>
                <w:szCs w:val="18"/>
              </w:rPr>
            </w:pPr>
          </w:p>
          <w:p>
            <w:pPr>
              <w:ind w:left="420" w:leftChars="200"/>
              <w:jc w:val="center"/>
              <w:rPr>
                <w:rFonts w:asciiTheme="majorEastAsia" w:hAnsiTheme="majorEastAsia" w:eastAsiaTheme="majorEastAsia" w:cstheme="majorEastAsia"/>
                <w:sz w:val="18"/>
                <w:szCs w:val="18"/>
              </w:rPr>
            </w:pPr>
          </w:p>
        </w:tc>
        <w:tc>
          <w:tcPr>
            <w:tcW w:w="2409" w:type="dxa"/>
            <w:shd w:val="clear" w:color="auto" w:fill="auto"/>
            <w:vAlign w:val="center"/>
          </w:tcPr>
          <w:p>
            <w:pPr>
              <w:jc w:val="center"/>
              <w:rPr>
                <w:sz w:val="18"/>
                <w:szCs w:val="18"/>
              </w:rPr>
            </w:pPr>
            <w:r>
              <w:rPr>
                <w:rFonts w:hint="eastAsia"/>
                <w:sz w:val="18"/>
                <w:szCs w:val="18"/>
              </w:rPr>
              <w:t>心理健康研究</w:t>
            </w:r>
          </w:p>
          <w:p>
            <w:pPr>
              <w:jc w:val="center"/>
              <w:rPr>
                <w:rFonts w:asciiTheme="majorEastAsia" w:hAnsiTheme="majorEastAsia" w:eastAsiaTheme="majorEastAsia" w:cstheme="majorEastAsia"/>
                <w:sz w:val="18"/>
                <w:szCs w:val="18"/>
              </w:rPr>
            </w:pPr>
            <w:r>
              <w:rPr>
                <w:rFonts w:hint="eastAsia"/>
                <w:sz w:val="18"/>
                <w:szCs w:val="18"/>
              </w:rPr>
              <w:t>佟月华</w:t>
            </w:r>
            <w:r>
              <w:rPr>
                <w:rFonts w:hint="eastAsia" w:asciiTheme="majorEastAsia" w:hAnsiTheme="majorEastAsia" w:eastAsiaTheme="majorEastAsia" w:cstheme="majorEastAsia"/>
                <w:sz w:val="18"/>
                <w:szCs w:val="18"/>
              </w:rPr>
              <w:t>（5-7节）（3-13周）</w:t>
            </w:r>
          </w:p>
          <w:p>
            <w:pPr>
              <w:jc w:val="center"/>
              <w:rPr>
                <w:rFonts w:asciiTheme="majorEastAsia" w:hAnsiTheme="majorEastAsia" w:eastAsiaTheme="majorEastAsia" w:cstheme="majorEastAsia"/>
                <w:spacing w:val="-20"/>
                <w:sz w:val="18"/>
                <w:szCs w:val="18"/>
              </w:rPr>
            </w:pPr>
          </w:p>
        </w:tc>
        <w:tc>
          <w:tcPr>
            <w:tcW w:w="283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政治理论（含教师职业道德教育）(教育硕士)</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（5-7节） 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文洪朝  王常柱等</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学习困难儿童的干预研究</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孙英红（5-</w:t>
            </w:r>
            <w:r>
              <w:rPr>
                <w:rFonts w:hint="eastAsia" w:asciiTheme="majorEastAsia" w:hAnsiTheme="majorEastAsia" w:eastAsiaTheme="majorEastAsia" w:cstheme="majorEastAsia"/>
                <w:sz w:val="18"/>
                <w:szCs w:val="18"/>
                <w:lang w:val="en-US" w:eastAsia="zh-CN"/>
              </w:rPr>
              <w:t>8</w:t>
            </w:r>
            <w:r>
              <w:rPr>
                <w:rFonts w:hint="eastAsia" w:asciiTheme="majorEastAsia" w:hAnsiTheme="majorEastAsia" w:eastAsiaTheme="majorEastAsia" w:cstheme="majorEastAsia"/>
                <w:sz w:val="18"/>
                <w:szCs w:val="18"/>
              </w:rPr>
              <w:t>节）（14-</w:t>
            </w:r>
            <w:r>
              <w:rPr>
                <w:rFonts w:hint="eastAsia" w:asciiTheme="majorEastAsia" w:hAnsiTheme="majorEastAsia" w:eastAsiaTheme="majorEastAsia" w:cstheme="majorEastAsia"/>
                <w:sz w:val="18"/>
                <w:szCs w:val="18"/>
                <w:lang w:val="en-US" w:eastAsia="zh-CN"/>
              </w:rPr>
              <w:t>17</w:t>
            </w:r>
            <w:r>
              <w:rPr>
                <w:rFonts w:hint="eastAsia" w:asciiTheme="majorEastAsia" w:hAnsiTheme="majorEastAsia" w:eastAsiaTheme="majorEastAsia" w:cstheme="majorEastAsia"/>
                <w:sz w:val="18"/>
                <w:szCs w:val="18"/>
              </w:rPr>
              <w:t>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tc>
        <w:tc>
          <w:tcPr>
            <w:tcW w:w="2767"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课程与教学论</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（5-7节） 3-13周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于丽琴 李福春</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4J307</w:t>
            </w:r>
          </w:p>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152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65"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情绪与行为障碍儿童教育</w:t>
            </w:r>
          </w:p>
          <w:p>
            <w:pPr>
              <w:jc w:val="center"/>
              <w:rPr>
                <w:rFonts w:asciiTheme="majorEastAsia" w:hAnsiTheme="majorEastAsia" w:eastAsiaTheme="majorEastAsia" w:cstheme="majorEastAsia"/>
                <w:sz w:val="18"/>
                <w:szCs w:val="18"/>
              </w:rPr>
            </w:pPr>
            <w:r>
              <w:rPr>
                <w:rFonts w:hint="eastAsia"/>
                <w:sz w:val="18"/>
                <w:szCs w:val="18"/>
              </w:rPr>
              <w:t>冯晶</w:t>
            </w:r>
            <w:r>
              <w:rPr>
                <w:rFonts w:hint="eastAsia" w:asciiTheme="majorEastAsia" w:hAnsiTheme="majorEastAsia" w:eastAsiaTheme="majorEastAsia" w:cstheme="majorEastAsia"/>
                <w:sz w:val="18"/>
                <w:szCs w:val="18"/>
              </w:rPr>
              <w:t>（9-11节）（3-10周）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特教大楼A304</w:t>
            </w:r>
          </w:p>
        </w:tc>
        <w:tc>
          <w:tcPr>
            <w:tcW w:w="2678" w:type="dxa"/>
            <w:vMerge w:val="restart"/>
            <w:shd w:val="clear" w:color="auto" w:fill="auto"/>
            <w:vAlign w:val="center"/>
          </w:tcPr>
          <w:p>
            <w:pPr>
              <w:jc w:val="center"/>
              <w:rPr>
                <w:rFonts w:asciiTheme="majorEastAsia" w:hAnsiTheme="majorEastAsia" w:eastAsiaTheme="majorEastAsia" w:cstheme="majorEastAsia"/>
                <w:sz w:val="18"/>
                <w:szCs w:val="18"/>
              </w:rPr>
            </w:pPr>
          </w:p>
        </w:tc>
        <w:tc>
          <w:tcPr>
            <w:tcW w:w="2409" w:type="dxa"/>
            <w:shd w:val="clear" w:color="auto" w:fill="auto"/>
            <w:vAlign w:val="center"/>
          </w:tcPr>
          <w:p>
            <w:pPr>
              <w:jc w:val="center"/>
              <w:rPr>
                <w:rFonts w:asciiTheme="majorEastAsia" w:hAnsiTheme="majorEastAsia" w:eastAsiaTheme="majorEastAsia" w:cstheme="majorEastAsia"/>
                <w:sz w:val="18"/>
                <w:szCs w:val="18"/>
              </w:rPr>
            </w:pPr>
          </w:p>
        </w:tc>
        <w:tc>
          <w:tcPr>
            <w:tcW w:w="2830"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情绪与行为障碍儿童教育</w:t>
            </w:r>
          </w:p>
          <w:p>
            <w:pPr>
              <w:jc w:val="center"/>
              <w:rPr>
                <w:rFonts w:asciiTheme="majorEastAsia" w:hAnsiTheme="majorEastAsia" w:eastAsiaTheme="majorEastAsia" w:cstheme="majorEastAsia"/>
                <w:sz w:val="18"/>
                <w:szCs w:val="18"/>
              </w:rPr>
            </w:pPr>
            <w:r>
              <w:rPr>
                <w:rFonts w:hint="eastAsia"/>
                <w:sz w:val="18"/>
                <w:szCs w:val="18"/>
              </w:rPr>
              <w:t>冯晶</w:t>
            </w:r>
            <w:r>
              <w:rPr>
                <w:rFonts w:hint="eastAsia" w:asciiTheme="majorEastAsia" w:hAnsiTheme="majorEastAsia" w:eastAsiaTheme="majorEastAsia" w:cstheme="majorEastAsia"/>
                <w:sz w:val="18"/>
                <w:szCs w:val="18"/>
              </w:rPr>
              <w:t>（9-11节）（12-14周）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特教大楼A411</w:t>
            </w:r>
          </w:p>
        </w:tc>
        <w:tc>
          <w:tcPr>
            <w:tcW w:w="2767" w:type="dxa"/>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52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565" w:type="dxa"/>
            <w:vMerge w:val="continue"/>
            <w:vAlign w:val="center"/>
          </w:tcPr>
          <w:p>
            <w:pPr>
              <w:jc w:val="center"/>
              <w:rPr>
                <w:rFonts w:asciiTheme="majorEastAsia" w:hAnsiTheme="majorEastAsia" w:eastAsiaTheme="majorEastAsia" w:cstheme="majorEastAsia"/>
                <w:sz w:val="18"/>
                <w:szCs w:val="18"/>
              </w:rPr>
            </w:pPr>
          </w:p>
        </w:tc>
        <w:tc>
          <w:tcPr>
            <w:tcW w:w="2678" w:type="dxa"/>
            <w:vMerge w:val="continue"/>
            <w:vAlign w:val="center"/>
          </w:tcPr>
          <w:p>
            <w:pPr>
              <w:jc w:val="center"/>
              <w:rPr>
                <w:rFonts w:asciiTheme="majorEastAsia" w:hAnsiTheme="majorEastAsia" w:eastAsiaTheme="majorEastAsia" w:cstheme="majorEastAsia"/>
                <w:sz w:val="18"/>
                <w:szCs w:val="18"/>
              </w:rPr>
            </w:pPr>
          </w:p>
        </w:tc>
        <w:tc>
          <w:tcPr>
            <w:tcW w:w="2409" w:type="dxa"/>
            <w:vAlign w:val="center"/>
          </w:tcPr>
          <w:p>
            <w:pPr>
              <w:jc w:val="center"/>
              <w:rPr>
                <w:rFonts w:asciiTheme="majorEastAsia" w:hAnsiTheme="majorEastAsia" w:eastAsiaTheme="majorEastAsia" w:cstheme="majorEastAsia"/>
                <w:sz w:val="18"/>
                <w:szCs w:val="18"/>
              </w:rPr>
            </w:pPr>
          </w:p>
        </w:tc>
        <w:tc>
          <w:tcPr>
            <w:tcW w:w="2830" w:type="dxa"/>
            <w:vMerge w:val="continue"/>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52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565" w:type="dxa"/>
          </w:tcPr>
          <w:p>
            <w:pPr>
              <w:jc w:val="center"/>
              <w:rPr>
                <w:rFonts w:asciiTheme="majorEastAsia" w:hAnsiTheme="majorEastAsia" w:eastAsiaTheme="majorEastAsia" w:cstheme="majorEastAsia"/>
                <w:sz w:val="18"/>
                <w:szCs w:val="18"/>
              </w:rPr>
            </w:pPr>
          </w:p>
        </w:tc>
        <w:tc>
          <w:tcPr>
            <w:tcW w:w="2678" w:type="dxa"/>
          </w:tcPr>
          <w:p>
            <w:pPr>
              <w:jc w:val="center"/>
              <w:rPr>
                <w:rFonts w:asciiTheme="majorEastAsia" w:hAnsiTheme="majorEastAsia" w:eastAsiaTheme="majorEastAsia" w:cstheme="majorEastAsia"/>
                <w:sz w:val="18"/>
                <w:szCs w:val="18"/>
              </w:rPr>
            </w:pPr>
          </w:p>
        </w:tc>
        <w:tc>
          <w:tcPr>
            <w:tcW w:w="2409" w:type="dxa"/>
          </w:tcPr>
          <w:p>
            <w:pPr>
              <w:jc w:val="center"/>
              <w:rPr>
                <w:rFonts w:asciiTheme="majorEastAsia" w:hAnsiTheme="majorEastAsia" w:eastAsiaTheme="majorEastAsia" w:cstheme="majorEastAsia"/>
                <w:sz w:val="18"/>
                <w:szCs w:val="18"/>
              </w:rPr>
            </w:pPr>
          </w:p>
        </w:tc>
        <w:tc>
          <w:tcPr>
            <w:tcW w:w="2830" w:type="dxa"/>
          </w:tcPr>
          <w:p>
            <w:pPr>
              <w:jc w:val="center"/>
              <w:rPr>
                <w:rFonts w:asciiTheme="majorEastAsia" w:hAnsiTheme="majorEastAsia" w:eastAsiaTheme="majorEastAsia" w:cstheme="majorEastAsia"/>
                <w:sz w:val="18"/>
                <w:szCs w:val="18"/>
              </w:rPr>
            </w:pPr>
          </w:p>
        </w:tc>
        <w:tc>
          <w:tcPr>
            <w:tcW w:w="2767" w:type="dxa"/>
          </w:tcPr>
          <w:p>
            <w:pPr>
              <w:jc w:val="center"/>
              <w:rPr>
                <w:rFonts w:asciiTheme="majorEastAsia" w:hAnsiTheme="majorEastAsia" w:eastAsiaTheme="majorEastAsia" w:cstheme="majorEastAsia"/>
                <w:sz w:val="18"/>
                <w:szCs w:val="18"/>
              </w:rPr>
            </w:pP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Theme="majorEastAsia" w:hAnsiTheme="majorEastAsia" w:eastAsiaTheme="majorEastAsia" w:cstheme="majorEastAsia"/>
          <w:color w:val="0000FF"/>
          <w:szCs w:val="21"/>
        </w:rPr>
      </w:pPr>
    </w:p>
    <w:p>
      <w:pPr>
        <w:ind w:left="210" w:leftChars="100"/>
        <w:jc w:val="center"/>
        <w:rPr>
          <w:rFonts w:hint="eastAsia"/>
          <w:b/>
          <w:bCs/>
          <w:sz w:val="30"/>
          <w:szCs w:val="30"/>
        </w:rPr>
      </w:pPr>
    </w:p>
    <w:p>
      <w:pPr>
        <w:rPr>
          <w:rFonts w:asciiTheme="majorEastAsia" w:hAnsiTheme="majorEastAsia" w:eastAsiaTheme="majorEastAsia" w:cstheme="majorEastAsia"/>
          <w:szCs w:val="21"/>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Sim Sun">
    <w:altName w:val="微软雅黑"/>
    <w:panose1 w:val="00000000000000000000"/>
    <w:charset w:val="86"/>
    <w:family w:val="swiss"/>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5A3683"/>
    <w:rsid w:val="000226B8"/>
    <w:rsid w:val="00026EEF"/>
    <w:rsid w:val="00052555"/>
    <w:rsid w:val="00076D2C"/>
    <w:rsid w:val="000A355F"/>
    <w:rsid w:val="000C25AA"/>
    <w:rsid w:val="000D6661"/>
    <w:rsid w:val="0016236D"/>
    <w:rsid w:val="0018143C"/>
    <w:rsid w:val="00185C22"/>
    <w:rsid w:val="001B178F"/>
    <w:rsid w:val="00200EFA"/>
    <w:rsid w:val="00331373"/>
    <w:rsid w:val="00367375"/>
    <w:rsid w:val="003A245D"/>
    <w:rsid w:val="003A2936"/>
    <w:rsid w:val="003A59CD"/>
    <w:rsid w:val="003E2017"/>
    <w:rsid w:val="003E6E7B"/>
    <w:rsid w:val="00432AE4"/>
    <w:rsid w:val="00433DE8"/>
    <w:rsid w:val="00450BDD"/>
    <w:rsid w:val="0046403F"/>
    <w:rsid w:val="004A0CEE"/>
    <w:rsid w:val="004C5022"/>
    <w:rsid w:val="004D57F6"/>
    <w:rsid w:val="00507BC6"/>
    <w:rsid w:val="00525163"/>
    <w:rsid w:val="005279EA"/>
    <w:rsid w:val="00530F2D"/>
    <w:rsid w:val="00554E99"/>
    <w:rsid w:val="00563A8B"/>
    <w:rsid w:val="0058150E"/>
    <w:rsid w:val="005B09BD"/>
    <w:rsid w:val="005C59D4"/>
    <w:rsid w:val="005C62CB"/>
    <w:rsid w:val="005F046D"/>
    <w:rsid w:val="00604E0B"/>
    <w:rsid w:val="006071E9"/>
    <w:rsid w:val="00644D7D"/>
    <w:rsid w:val="00727053"/>
    <w:rsid w:val="00751439"/>
    <w:rsid w:val="007A197A"/>
    <w:rsid w:val="007E0F20"/>
    <w:rsid w:val="00802065"/>
    <w:rsid w:val="008230FE"/>
    <w:rsid w:val="008378EA"/>
    <w:rsid w:val="00846F34"/>
    <w:rsid w:val="0084755D"/>
    <w:rsid w:val="008554EB"/>
    <w:rsid w:val="00864CC2"/>
    <w:rsid w:val="00882D65"/>
    <w:rsid w:val="008A3007"/>
    <w:rsid w:val="008A69B0"/>
    <w:rsid w:val="008B235B"/>
    <w:rsid w:val="008E546E"/>
    <w:rsid w:val="00916BA6"/>
    <w:rsid w:val="00965262"/>
    <w:rsid w:val="00992F25"/>
    <w:rsid w:val="00993414"/>
    <w:rsid w:val="00995386"/>
    <w:rsid w:val="009B2E2D"/>
    <w:rsid w:val="00A60451"/>
    <w:rsid w:val="00A70B36"/>
    <w:rsid w:val="00AB4301"/>
    <w:rsid w:val="00AC5F33"/>
    <w:rsid w:val="00B05C04"/>
    <w:rsid w:val="00B24A66"/>
    <w:rsid w:val="00B2621E"/>
    <w:rsid w:val="00B7184D"/>
    <w:rsid w:val="00B71C56"/>
    <w:rsid w:val="00BC60A0"/>
    <w:rsid w:val="00BF15BB"/>
    <w:rsid w:val="00C17505"/>
    <w:rsid w:val="00C21775"/>
    <w:rsid w:val="00C31975"/>
    <w:rsid w:val="00C35A49"/>
    <w:rsid w:val="00C41843"/>
    <w:rsid w:val="00C90975"/>
    <w:rsid w:val="00CC093C"/>
    <w:rsid w:val="00CE394A"/>
    <w:rsid w:val="00DB0691"/>
    <w:rsid w:val="00E218D7"/>
    <w:rsid w:val="00E243DE"/>
    <w:rsid w:val="00E56CDC"/>
    <w:rsid w:val="00E935EC"/>
    <w:rsid w:val="00ED565D"/>
    <w:rsid w:val="00F45BE8"/>
    <w:rsid w:val="00F47418"/>
    <w:rsid w:val="00FD3A33"/>
    <w:rsid w:val="00FE2499"/>
    <w:rsid w:val="0484526D"/>
    <w:rsid w:val="05312AC8"/>
    <w:rsid w:val="07C13EAD"/>
    <w:rsid w:val="07F3632B"/>
    <w:rsid w:val="0833114F"/>
    <w:rsid w:val="08F25993"/>
    <w:rsid w:val="09242A9B"/>
    <w:rsid w:val="0AEA45C8"/>
    <w:rsid w:val="0CA61D72"/>
    <w:rsid w:val="0DA10FD4"/>
    <w:rsid w:val="10935063"/>
    <w:rsid w:val="13D508EF"/>
    <w:rsid w:val="13F66BCD"/>
    <w:rsid w:val="1777241D"/>
    <w:rsid w:val="17E90540"/>
    <w:rsid w:val="1A7D3F49"/>
    <w:rsid w:val="1C7D1408"/>
    <w:rsid w:val="1D96350D"/>
    <w:rsid w:val="1FFA40FF"/>
    <w:rsid w:val="25FC69CE"/>
    <w:rsid w:val="270447A7"/>
    <w:rsid w:val="2891693E"/>
    <w:rsid w:val="2E930307"/>
    <w:rsid w:val="30FF3DC2"/>
    <w:rsid w:val="31DF20F7"/>
    <w:rsid w:val="33E21237"/>
    <w:rsid w:val="35383DCD"/>
    <w:rsid w:val="37073B2D"/>
    <w:rsid w:val="39565A6B"/>
    <w:rsid w:val="399F257C"/>
    <w:rsid w:val="3EF25F8B"/>
    <w:rsid w:val="3F5A37BF"/>
    <w:rsid w:val="40CA383E"/>
    <w:rsid w:val="41FA7474"/>
    <w:rsid w:val="42A62AE9"/>
    <w:rsid w:val="48E90C5B"/>
    <w:rsid w:val="4E9B2BF4"/>
    <w:rsid w:val="517516FF"/>
    <w:rsid w:val="57A546E8"/>
    <w:rsid w:val="5AF9224D"/>
    <w:rsid w:val="5CA97E4C"/>
    <w:rsid w:val="5F393140"/>
    <w:rsid w:val="5F513114"/>
    <w:rsid w:val="60753AF5"/>
    <w:rsid w:val="60800F00"/>
    <w:rsid w:val="647F5B9B"/>
    <w:rsid w:val="647F6CED"/>
    <w:rsid w:val="65D65811"/>
    <w:rsid w:val="68BF6232"/>
    <w:rsid w:val="6A8A5C1F"/>
    <w:rsid w:val="6B884D75"/>
    <w:rsid w:val="6BDC4B54"/>
    <w:rsid w:val="6ED54729"/>
    <w:rsid w:val="71EE0F0B"/>
    <w:rsid w:val="73FC4AFD"/>
    <w:rsid w:val="741959F4"/>
    <w:rsid w:val="78650D0A"/>
    <w:rsid w:val="7AF43669"/>
    <w:rsid w:val="7D3602FA"/>
    <w:rsid w:val="7D5A3683"/>
    <w:rsid w:val="7DA91C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420</Words>
  <Characters>2394</Characters>
  <Lines>19</Lines>
  <Paragraphs>5</Paragraphs>
  <ScaleCrop>false</ScaleCrop>
  <LinksUpToDate>false</LinksUpToDate>
  <CharactersWithSpaces>2809</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2016-06-27T06:11:00Z</dcterms:created>
  <dc:creator>admin</dc:creator>
  <cp:lastModifiedBy>admin</cp:lastModifiedBy>
  <cp:lastPrinted>2016-06-24T08:46:00Z</cp:lastPrinted>
  <dcterms:modified xsi:type="dcterms:W3CDTF">2016-08-30T07:12:34Z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