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val="en-US" w:eastAsia="zh-CN"/>
        </w:rPr>
        <w:t>2018-2019学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一</w:t>
      </w:r>
      <w:r>
        <w:rPr>
          <w:rFonts w:hint="eastAsia"/>
          <w:b/>
          <w:bCs/>
          <w:sz w:val="30"/>
          <w:szCs w:val="30"/>
        </w:rPr>
        <w:t>学期硕士研究生</w:t>
      </w:r>
      <w:r>
        <w:rPr>
          <w:rFonts w:hint="eastAsia"/>
          <w:b/>
          <w:bCs/>
          <w:sz w:val="30"/>
          <w:szCs w:val="30"/>
          <w:lang w:eastAsia="zh-CN"/>
        </w:rPr>
        <w:t>公共课</w:t>
      </w:r>
      <w:r>
        <w:rPr>
          <w:rFonts w:hint="eastAsia"/>
          <w:b/>
          <w:bCs/>
          <w:sz w:val="30"/>
          <w:szCs w:val="30"/>
        </w:rPr>
        <w:t>程表</w:t>
      </w:r>
    </w:p>
    <w:tbl>
      <w:tblPr>
        <w:tblStyle w:val="3"/>
        <w:tblW w:w="15362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30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赵秀芳 贺方彬（1-3节）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>舜耕校区文史楼511  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基础英语（一班）（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10J-401 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自然辩证法概论（三班）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eastAsia="zh-CN"/>
              </w:rPr>
              <w:t>李朋忠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 xml:space="preserve">  舜耕校区文史楼511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>（12-17周）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数理统计与应用（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尹丽子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10J-401  （2-17周）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自然辩证法概论（二班）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牛秋业  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（星硕）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英语（3-4节）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cyan"/>
                <w:lang w:eastAsia="zh-CN"/>
              </w:rPr>
              <w:t>（教育硕士、建筑与土木工程）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韩晓丽 10J-403  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 xml:space="preserve"> 舜耕校区文史楼511  (2-17周)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知识产权与知识产权法（二班）侯中华（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11J-6501（3-8周）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高级英语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周志民（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自然辩证法概论（一班）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牛秋业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（星硕）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贺方彬 赵秀芳 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（2-7周）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知识产权与知识产权法（一班）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侯中华（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11J-6501 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基础英语（二班）（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10J-401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7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7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基础英语（二班）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5-6节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）（一班）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 11J-6501（3-14周）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）（二班）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11J-6501 （3-14周)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矩阵论（5-7节）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陈兆英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10J-401   (2-17周)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11J-6501 （3-14周)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7-8节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>舜耕校区文史楼511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>(2-17周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基础英语（一班）（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5-6节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10J-401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数值分析（5-7节）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杜传斌 靳绍礼 11J-6501（2-17周）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）（四班）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>舜耕校区文史楼511  （3-14周)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理。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  <w:t>附：硕士研究生公共课教学分班情况一览表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b/>
          <w:bCs/>
          <w:spacing w:val="-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中国特色社会主义理论与实践研究（一班）</w:t>
      </w:r>
    </w:p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shd w:val="clea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080500 材料科学与工程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085204 材料工程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080200 机械工程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085201 机械工程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080500 材料科学与工程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085204 材料工程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081400 土木工程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085213 建筑与土木工程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081100 控制科学与工程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085210 控制工程</w:t>
      </w:r>
    </w:p>
    <w:p>
      <w:pPr>
        <w:numPr>
          <w:ilvl w:val="0"/>
          <w:numId w:val="0"/>
        </w:numPr>
        <w:shd w:val="clear"/>
        <w:ind w:leftChars="-137"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65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1"/>
        <w:gridCol w:w="105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080500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085204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080200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085201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建筑材料制备与测试技术重点实验室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080500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建筑材料制备与测试技术重点实验室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085204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081400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自动化与电气工程学院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081100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自动化与电气工程学院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控制工程</w:t>
            </w:r>
          </w:p>
        </w:tc>
      </w:tr>
    </w:tbl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中国特色社会主义理论与实践研究（二班）</w:t>
      </w:r>
    </w:p>
    <w:p>
      <w:pPr>
        <w:numPr>
          <w:ilvl w:val="0"/>
          <w:numId w:val="0"/>
        </w:numPr>
        <w:shd w:val="clea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070300 化学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070300 化学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081700 化学工程与技术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085216 化学工程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070300 化学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85238 生物工程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085235 制药工程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085238 生物工程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081500 水利工程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083000 环境科学与工程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085214 水利工程085229 环境工程</w:t>
      </w:r>
    </w:p>
    <w:p>
      <w:pPr>
        <w:numPr>
          <w:ilvl w:val="0"/>
          <w:numId w:val="0"/>
        </w:numPr>
        <w:shd w:val="clear"/>
        <w:ind w:leftChars="-137"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6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1"/>
        <w:gridCol w:w="111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光功能与成像研究院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081700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085216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前沿交叉科学研究院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前沿交叉科学研究院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085238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085235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085238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081500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083000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085214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085229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环境工程</w:t>
            </w:r>
          </w:p>
        </w:tc>
      </w:tr>
    </w:tbl>
    <w:p>
      <w:pPr>
        <w:numPr>
          <w:ilvl w:val="0"/>
          <w:numId w:val="0"/>
        </w:numPr>
        <w:shd w:val="clear"/>
        <w:ind w:leftChars="-137"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中国特色社会主义理论与实践研究（三班）</w:t>
      </w:r>
    </w:p>
    <w:p>
      <w:pPr>
        <w:numPr>
          <w:ilvl w:val="0"/>
          <w:numId w:val="0"/>
        </w:numPr>
        <w:shd w:val="clea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040202 发展与教育心理学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030501 马克思主义基本原理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030505 思想政治教育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070104 应用数学050211 外国语言学及应用语言学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055101 英语笔译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050100 中国语言文学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070200 物理学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081002 信号与信息处理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081200 计算机科学与技术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085211 计算机技术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085212 软件工程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030300 社会学045101 教育管理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045116 心理健康教育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045119 特殊教育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045104 学科教学（数学）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045112 学科教学（体育）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045103 学科教学（语文）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135107 美术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135108 艺术设计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135101 音乐</w:t>
      </w:r>
    </w:p>
    <w:p>
      <w:pPr>
        <w:numPr>
          <w:ilvl w:val="0"/>
          <w:numId w:val="0"/>
        </w:numPr>
        <w:shd w:val="clear"/>
        <w:ind w:leftChars="-137"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6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6"/>
        <w:gridCol w:w="105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040202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发展与教育心理学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030501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030505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070104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050211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055101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050100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070200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081002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081200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085211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085212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030300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045101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045116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045119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045104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045112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045103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135107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135108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135101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</w:t>
            </w:r>
          </w:p>
        </w:tc>
      </w:tr>
    </w:tbl>
    <w:p>
      <w:pPr>
        <w:numPr>
          <w:ilvl w:val="0"/>
          <w:numId w:val="0"/>
        </w:numPr>
        <w:shd w:val="clear"/>
        <w:ind w:leftChars="-137"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中国特色社会主义理论与实践研究（四班）</w:t>
      </w:r>
    </w:p>
    <w:p>
      <w:pPr>
        <w:numPr>
          <w:ilvl w:val="0"/>
          <w:numId w:val="0"/>
        </w:numPr>
        <w:shd w:val="clear"/>
        <w:ind w:leftChars="-137"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020200 应用经济学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085240 物流工程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120100 管理科学与工程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120201 会计学120202 企业管理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20204 技术经济及管理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6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1850"/>
        <w:gridCol w:w="183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020200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舜耕校区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085240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舜耕校区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120100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舜耕校区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120201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舜耕校区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120202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舜耕校区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120204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舜耕校区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自然辩证法概论（一班）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080500 材料科学与工程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085204 材料工程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080200 机械工程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085201 机械工程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085238 生物工程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085235 制药工程085238 生物工程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070104 应用数学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081400 土木工程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085213 建筑与土木工程070200 物理学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081100 控制科学与工程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085210 控制工程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6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8"/>
        <w:gridCol w:w="94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080500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085204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080200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085201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建筑材料制备与测试技术重点实验室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080500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建筑材料制备与测试技术重点实验室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085204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前沿交叉科学研究院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085238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085235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085238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070104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081400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085213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070200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自动化与电气工程学院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081100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自动化与电气工程学院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控制工程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自然辩证法概论（二班）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070300 化学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081700 化学工程与技术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085216 化学工程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081002 信号与信息处理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081200 计算机科学与技术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085211 计算机技术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085212 软件工程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081500 水利工程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083000 环境科学与工程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085214 水利工程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085229 环境工程</w:t>
      </w:r>
    </w:p>
    <w:tbl>
      <w:tblPr>
        <w:tblStyle w:val="3"/>
        <w:tblW w:w="6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3"/>
        <w:gridCol w:w="154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光功能与成像研究院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081700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085216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前沿交叉科学研究院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081002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081200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085211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085212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081500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083000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085214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085229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环境工程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自然辩证法概论（三班）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085240 物流工程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120100 管理科学与工程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6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8"/>
        <w:gridCol w:w="1485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085240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120100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马克思主义与社会科学方法论（一班）（中心校区）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040202 发展与教育心理学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030501 马克思主义基本原理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030505 思想政治教育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050211 外国语言学及应用语言学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055101 英语笔译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050100 中国语言文学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030300 社会学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045101 教育管理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045116 心理健康教育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045119 特殊教育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045104 学科教学（数学）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045112 学科教学（体育）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045103 学科教学（语文）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135107 美术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135108 艺术设计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135101 音乐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7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8"/>
        <w:gridCol w:w="168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040202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发展与教育心理学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030501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030505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050211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055101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050100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030300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045101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045116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045119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045104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045112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045103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135107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135108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135101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</w:t>
            </w:r>
          </w:p>
        </w:tc>
      </w:tr>
    </w:tbl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马克思主义与社会科学方法论（二班）（舜耕校区）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020200 应用经济学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120201 会计学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120202 企业管理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120204 技术经济及管理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7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3"/>
        <w:gridCol w:w="1905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020200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120201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120202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120204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技术经济及管理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知识产权与知识产权法（一班）</w:t>
      </w: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085204 材料工程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085201 机械工程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085204 材料工程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085213 建筑与土木工程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085210 控制工程</w:t>
      </w: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7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8"/>
        <w:gridCol w:w="1305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085204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085201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建筑材料制备与测试技术重点实验室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085204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085213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自动化与电气工程学院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控制工程</w:t>
            </w:r>
          </w:p>
        </w:tc>
      </w:tr>
    </w:tbl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知识产权与知识产权法（二班）</w:t>
      </w: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085216 化学工程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085238 生物工程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085235 制药工程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085238 生物工程085211 计算机技术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085212 软件工程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085214 水利工程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085229 环境工程</w:t>
      </w: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135101 音乐</w:t>
      </w: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7226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6"/>
        <w:gridCol w:w="2025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085216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前沿交叉科学研究院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085238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085235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085238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085211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085212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085214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085229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135101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</w:t>
            </w:r>
          </w:p>
        </w:tc>
      </w:tr>
    </w:tbl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知识产权与知识产权法（三班）</w:t>
      </w:r>
    </w:p>
    <w:p>
      <w:pPr>
        <w:shd w:val="clear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085240 物流工程</w:t>
      </w:r>
    </w:p>
    <w:tbl>
      <w:tblPr>
        <w:tblStyle w:val="3"/>
        <w:tblW w:w="78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742"/>
        <w:gridCol w:w="3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085240 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物流工程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研究生基础英语（一班）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080500 材料科学与工程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080200 机械工程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080500 材料科学与工程070104 应用数学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081400 土木工程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070200 物理学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81002 信号与信息处理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081200 计算机科学与技术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081100 控制科学与工程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78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8"/>
        <w:gridCol w:w="1125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080500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080200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建筑材料制备与测试技术重点实验室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080500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070104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081400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070200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081002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081200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自动化与电气工程学院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081100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控制科学与工程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研究生基础英语（二班）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070300 化学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081700 化学工程与技术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040202 发展与教育心理学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030501 马克思主义基本原理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030505 思想政治教育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070300 化学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050100 中国语言文学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030300 社会学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081500 水利工程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083000 环境科学与工程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7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8"/>
        <w:gridCol w:w="1080"/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光功能与成像研究院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081700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040202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发展与教育心理学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030501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030505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前沿交叉科学研究院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070300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050100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030300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081500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083000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环境科学与工程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研究生基础英语（三班）（舜耕校区）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020200 应用经济学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085240 物流工程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120100 管理科学与工程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120201 会计学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120202 企业管理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120204 技术经济及管理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8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3177"/>
        <w:gridCol w:w="3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020200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085240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120100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120201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120202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120204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技术经济及管理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英语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085213 建筑与土木工程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045101 教育管理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045116 心理健康教育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045119 特殊教育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045104 学科教学（数学）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045112 学科教学（体育）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045103 学科教学（语文）</w:t>
      </w:r>
    </w:p>
    <w:tbl>
      <w:tblPr>
        <w:tblStyle w:val="3"/>
        <w:tblW w:w="8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8"/>
        <w:gridCol w:w="201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085213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045101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045116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045119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045104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045112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045103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学科教学（语文）</w:t>
            </w:r>
          </w:p>
        </w:tc>
      </w:tr>
    </w:tbl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数值分析（全日制专业学位）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085216 化学工程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085201 机械工程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085213 建筑与土木工程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085214 水利工程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085229 环境工程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085210 控制工程</w:t>
      </w:r>
    </w:p>
    <w:p>
      <w:pPr>
        <w:shd w:val="clear"/>
        <w:ind w:left="210" w:left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82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3"/>
        <w:gridCol w:w="2265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专业代码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085216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085201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085213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085214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水利与环境学院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085229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自动化与电气工程学院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085210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控制工程</w:t>
            </w: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81577B8"/>
    <w:rsid w:val="0B057A11"/>
    <w:rsid w:val="0C4A2921"/>
    <w:rsid w:val="0D4E1341"/>
    <w:rsid w:val="0E615884"/>
    <w:rsid w:val="14BB5E25"/>
    <w:rsid w:val="18485185"/>
    <w:rsid w:val="1A153AA8"/>
    <w:rsid w:val="1BF61345"/>
    <w:rsid w:val="1CB7684C"/>
    <w:rsid w:val="1D0B423D"/>
    <w:rsid w:val="1D6B1FC3"/>
    <w:rsid w:val="20A249E4"/>
    <w:rsid w:val="22A43A5F"/>
    <w:rsid w:val="255061D2"/>
    <w:rsid w:val="26D7224E"/>
    <w:rsid w:val="275E25F2"/>
    <w:rsid w:val="2A2B490E"/>
    <w:rsid w:val="2CBB4B49"/>
    <w:rsid w:val="2D1317F0"/>
    <w:rsid w:val="2DCC409A"/>
    <w:rsid w:val="30455A83"/>
    <w:rsid w:val="31E42E80"/>
    <w:rsid w:val="322B45D0"/>
    <w:rsid w:val="3284295A"/>
    <w:rsid w:val="33191BC0"/>
    <w:rsid w:val="34875385"/>
    <w:rsid w:val="355F34F2"/>
    <w:rsid w:val="38726A6B"/>
    <w:rsid w:val="38D911F2"/>
    <w:rsid w:val="3C0B5933"/>
    <w:rsid w:val="3C6404BC"/>
    <w:rsid w:val="40316E8E"/>
    <w:rsid w:val="494C4626"/>
    <w:rsid w:val="4BAD5438"/>
    <w:rsid w:val="4EB92CAA"/>
    <w:rsid w:val="4F2B1B0E"/>
    <w:rsid w:val="4F4546D4"/>
    <w:rsid w:val="50826C25"/>
    <w:rsid w:val="50FD1BE4"/>
    <w:rsid w:val="52567F52"/>
    <w:rsid w:val="52E02F2B"/>
    <w:rsid w:val="54460E7B"/>
    <w:rsid w:val="57CC101E"/>
    <w:rsid w:val="580C7284"/>
    <w:rsid w:val="591F26A3"/>
    <w:rsid w:val="59E21445"/>
    <w:rsid w:val="5B2C7108"/>
    <w:rsid w:val="5F3B0B12"/>
    <w:rsid w:val="5F4F5972"/>
    <w:rsid w:val="658F7CCC"/>
    <w:rsid w:val="66931F25"/>
    <w:rsid w:val="673637B4"/>
    <w:rsid w:val="67545975"/>
    <w:rsid w:val="6ADF488E"/>
    <w:rsid w:val="6C05177F"/>
    <w:rsid w:val="6C066C61"/>
    <w:rsid w:val="6D692FE0"/>
    <w:rsid w:val="6D9A74B7"/>
    <w:rsid w:val="6EE75C30"/>
    <w:rsid w:val="74C05ABE"/>
    <w:rsid w:val="75027D76"/>
    <w:rsid w:val="76EA7B21"/>
    <w:rsid w:val="79A91848"/>
    <w:rsid w:val="7A3076B0"/>
    <w:rsid w:val="7B840F66"/>
    <w:rsid w:val="7B9C1D2A"/>
    <w:rsid w:val="7E1D0BA1"/>
    <w:rsid w:val="7E593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2018-09-06T07:54:00Z</cp:lastPrinted>
  <dcterms:modified xsi:type="dcterms:W3CDTF">2018-09-12T01:48:19Z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